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4F56C">
      <w:pPr>
        <w:keepNext w:val="0"/>
        <w:keepLines w:val="0"/>
        <w:pageBreakBefore w:val="0"/>
        <w:widowControl w:val="0"/>
        <w:kinsoku/>
        <w:wordWrap/>
        <w:overflowPunct/>
        <w:topLinePunct w:val="0"/>
        <w:bidi w:val="0"/>
        <w:spacing w:after="143" w:afterLines="50" w:line="420" w:lineRule="exact"/>
        <w:jc w:val="center"/>
        <w:textAlignment w:val="auto"/>
        <w:rPr>
          <w:rFonts w:hint="eastAsia" w:ascii="宋体" w:hAnsi="宋体" w:eastAsia="宋体" w:cs="宋体"/>
          <w:color w:val="auto"/>
          <w:spacing w:val="20"/>
          <w:sz w:val="36"/>
          <w:szCs w:val="36"/>
          <w:highlight w:val="none"/>
        </w:rPr>
      </w:pPr>
      <w:r>
        <w:rPr>
          <w:rFonts w:hint="eastAsia" w:ascii="宋体" w:hAnsi="宋体" w:eastAsia="宋体" w:cs="宋体"/>
          <w:color w:val="auto"/>
          <w:spacing w:val="20"/>
          <w:sz w:val="36"/>
          <w:szCs w:val="36"/>
          <w:highlight w:val="none"/>
        </w:rPr>
        <w:t>物资采购合同</w:t>
      </w:r>
    </w:p>
    <w:p w14:paraId="6B572C28">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甲方：北京中铁建工物资有限公司</w:t>
      </w:r>
    </w:p>
    <w:p w14:paraId="6C85D57F">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 xml:space="preserve">乙方：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p>
    <w:p w14:paraId="62EBFCCF">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根据国家有关法律、法规和诚实守信、平等互利的原则，甲乙双方经过友好协商，签订本合同，共同信守并严格履行以下合同条款：</w:t>
      </w:r>
    </w:p>
    <w:p w14:paraId="3BE4724C">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标的物</w:t>
      </w:r>
    </w:p>
    <w:p w14:paraId="308F93C6">
      <w:pPr>
        <w:keepNext w:val="0"/>
        <w:keepLines w:val="0"/>
        <w:pageBreakBefore w:val="0"/>
        <w:widowControl w:val="0"/>
        <w:numPr>
          <w:ilvl w:val="1"/>
          <w:numId w:val="2"/>
        </w:numPr>
        <w:kinsoku/>
        <w:wordWrap/>
        <w:overflowPunct/>
        <w:topLinePunct w:val="0"/>
        <w:bidi w:val="0"/>
        <w:spacing w:line="420" w:lineRule="exact"/>
        <w:ind w:firstLine="440" w:firstLineChars="200"/>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本合同标的物为合同有效期内甲方向乙方采购的型材</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线材、螺纹钢、盘螺等。标的物规格、数量、单价、材质、产地、送（提）货时间、发货日期等事项</w:t>
      </w:r>
      <w:r>
        <w:rPr>
          <w:rFonts w:hint="eastAsia" w:ascii="宋体" w:hAnsi="宋体" w:cs="宋体"/>
          <w:color w:val="auto"/>
          <w:sz w:val="24"/>
          <w:szCs w:val="24"/>
          <w:highlight w:val="none"/>
          <w:lang w:val="en-US" w:eastAsia="zh-CN"/>
        </w:rPr>
        <w:t>在</w:t>
      </w:r>
      <w:r>
        <w:rPr>
          <w:rFonts w:hint="eastAsia" w:ascii="宋体" w:hAnsi="宋体" w:eastAsia="宋体" w:cs="宋体"/>
          <w:color w:val="auto"/>
          <w:sz w:val="24"/>
          <w:szCs w:val="24"/>
          <w:highlight w:val="none"/>
        </w:rPr>
        <w:t>甲方当日采购订单中约定（样本见附件一）</w:t>
      </w:r>
      <w:r>
        <w:rPr>
          <w:rFonts w:hint="eastAsia" w:ascii="宋体" w:hAnsi="宋体" w:cs="宋体"/>
          <w:color w:val="auto"/>
          <w:sz w:val="24"/>
          <w:szCs w:val="24"/>
          <w:highlight w:val="none"/>
          <w:lang w:eastAsia="zh-CN"/>
        </w:rPr>
        <w:t>。</w:t>
      </w:r>
    </w:p>
    <w:p w14:paraId="1B9BE90A">
      <w:pPr>
        <w:keepNext w:val="0"/>
        <w:keepLines w:val="0"/>
        <w:pageBreakBefore w:val="0"/>
        <w:widowControl w:val="0"/>
        <w:numPr>
          <w:ilvl w:val="0"/>
          <w:numId w:val="0"/>
        </w:numPr>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甲乙双方确认并声明：</w:t>
      </w:r>
      <w:r>
        <w:rPr>
          <w:rFonts w:hint="eastAsia" w:ascii="宋体" w:hAnsi="宋体" w:eastAsia="宋体" w:cs="宋体"/>
          <w:color w:val="auto"/>
          <w:sz w:val="24"/>
          <w:szCs w:val="24"/>
          <w:highlight w:val="none"/>
        </w:rPr>
        <w:t>采购订单作为甲方唯一订货凭证，其他</w:t>
      </w:r>
      <w:r>
        <w:rPr>
          <w:rFonts w:hint="eastAsia" w:ascii="宋体" w:hAnsi="宋体" w:eastAsia="宋体" w:cs="宋体"/>
          <w:color w:val="auto"/>
          <w:sz w:val="24"/>
          <w:szCs w:val="24"/>
          <w:highlight w:val="none"/>
          <w:lang w:val="en-US" w:eastAsia="zh-CN"/>
        </w:rPr>
        <w:t>任何</w:t>
      </w:r>
      <w:r>
        <w:rPr>
          <w:rFonts w:hint="eastAsia" w:ascii="宋体" w:hAnsi="宋体" w:eastAsia="宋体" w:cs="宋体"/>
          <w:color w:val="auto"/>
          <w:sz w:val="24"/>
          <w:szCs w:val="24"/>
          <w:highlight w:val="none"/>
        </w:rPr>
        <w:t>方式甲方</w:t>
      </w:r>
      <w:r>
        <w:rPr>
          <w:rFonts w:hint="eastAsia" w:ascii="宋体" w:hAnsi="宋体" w:eastAsia="宋体" w:cs="宋体"/>
          <w:color w:val="auto"/>
          <w:sz w:val="24"/>
          <w:szCs w:val="24"/>
          <w:highlight w:val="none"/>
          <w:lang w:val="en-US" w:eastAsia="zh-CN"/>
        </w:rPr>
        <w:t>均</w:t>
      </w:r>
      <w:r>
        <w:rPr>
          <w:rFonts w:hint="eastAsia" w:ascii="宋体" w:hAnsi="宋体" w:eastAsia="宋体" w:cs="宋体"/>
          <w:color w:val="auto"/>
          <w:sz w:val="24"/>
          <w:szCs w:val="24"/>
          <w:highlight w:val="none"/>
        </w:rPr>
        <w:t>不予认可；</w:t>
      </w:r>
    </w:p>
    <w:p w14:paraId="700BD444">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（1）采购订单唯一有效送达方式为：甲方通过指定邮箱发送至乙方指定接收邮箱。如乙方对采购订单内容有异议，需在邮件送达后2小时内向甲方反馈，不反馈或逾期反馈视为无异议。</w:t>
      </w:r>
    </w:p>
    <w:p w14:paraId="640BE8C8">
      <w:pPr>
        <w:keepNext w:val="0"/>
        <w:keepLines w:val="0"/>
        <w:pageBreakBefore w:val="0"/>
        <w:widowControl w:val="0"/>
        <w:numPr>
          <w:ilvl w:val="0"/>
          <w:numId w:val="3"/>
        </w:numPr>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采购订单的发送：甲方指定发送邮箱为：</w:t>
      </w:r>
      <w:r>
        <w:rPr>
          <w:rFonts w:hint="eastAsia" w:ascii="宋体" w:hAnsi="宋体" w:eastAsia="宋体" w:cs="宋体"/>
          <w:color w:val="auto"/>
          <w:sz w:val="24"/>
          <w:szCs w:val="24"/>
          <w:highlight w:val="none"/>
          <w:u w:val="single"/>
          <w:lang w:val="en-US" w:eastAsia="zh-CN"/>
        </w:rPr>
        <w:t xml:space="preserve"> ztjg@ztjgwz.com   ；</w:t>
      </w:r>
    </w:p>
    <w:p w14:paraId="3E6E0BFD">
      <w:pPr>
        <w:keepNext w:val="0"/>
        <w:keepLines w:val="0"/>
        <w:pageBreakBefore w:val="0"/>
        <w:widowControl w:val="0"/>
        <w:numPr>
          <w:ilvl w:val="0"/>
          <w:numId w:val="0"/>
        </w:numPr>
        <w:kinsoku/>
        <w:wordWrap/>
        <w:overflowPunct/>
        <w:topLinePunct w:val="0"/>
        <w:bidi w:val="0"/>
        <w:spacing w:line="420" w:lineRule="exact"/>
        <w:ind w:firstLine="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采购订单的接收：乙方指定</w:t>
      </w:r>
      <w:r>
        <w:rPr>
          <w:rFonts w:hint="eastAsia" w:ascii="宋体" w:hAnsi="宋体" w:eastAsia="宋体" w:cs="宋体"/>
          <w:color w:val="auto"/>
          <w:sz w:val="24"/>
          <w:szCs w:val="24"/>
          <w:highlight w:val="none"/>
          <w:lang w:val="en-US" w:eastAsia="zh-CN"/>
        </w:rPr>
        <w:t>接收邮箱为：</w:t>
      </w:r>
      <w:r>
        <w:rPr>
          <w:rFonts w:hint="eastAsia" w:ascii="宋体" w:hAnsi="宋体" w:eastAsia="宋体" w:cs="宋体"/>
          <w:color w:val="auto"/>
          <w:sz w:val="24"/>
          <w:szCs w:val="24"/>
          <w:highlight w:val="none"/>
          <w:u w:val="single"/>
          <w:lang w:val="en-US" w:eastAsia="zh-CN"/>
        </w:rPr>
        <w:t xml:space="preserve">                     。</w:t>
      </w:r>
    </w:p>
    <w:p w14:paraId="5A814849">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本合同履行过程中</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指定</w:t>
      </w:r>
      <w:r>
        <w:rPr>
          <w:rFonts w:hint="eastAsia" w:ascii="宋体" w:hAnsi="宋体" w:eastAsia="宋体" w:cs="宋体"/>
          <w:color w:val="auto"/>
          <w:sz w:val="24"/>
          <w:szCs w:val="24"/>
          <w:highlight w:val="none"/>
          <w:lang w:val="en-US" w:eastAsia="zh-CN"/>
        </w:rPr>
        <w:t>邮箱</w:t>
      </w:r>
      <w:r>
        <w:rPr>
          <w:rFonts w:hint="eastAsia" w:ascii="宋体" w:hAnsi="宋体" w:eastAsia="宋体" w:cs="宋体"/>
          <w:color w:val="auto"/>
          <w:sz w:val="24"/>
          <w:szCs w:val="24"/>
          <w:highlight w:val="none"/>
        </w:rPr>
        <w:t>发生变化，</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val="en-US" w:eastAsia="zh-CN"/>
        </w:rPr>
        <w:t>应以书面形式进行约定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在变更生效前，甲方按原地址发送的采购订单仍视为有效送达。</w:t>
      </w:r>
    </w:p>
    <w:p w14:paraId="0072043E">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乙方应用微信扫描识别采购订单左上方二维码，核实各项信息，以验证订单真伪，如未进行真伪验证，造成的损失由乙方负责。</w:t>
      </w:r>
    </w:p>
    <w:p w14:paraId="0544312C">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cs="宋体"/>
          <w:b/>
          <w:bCs/>
          <w:color w:val="auto"/>
          <w:sz w:val="24"/>
          <w:szCs w:val="24"/>
          <w:highlight w:val="cyan"/>
          <w:lang w:val="en-US" w:eastAsia="zh-CN"/>
        </w:rPr>
      </w:pP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rPr>
        <w:t>乙方需严格按采购订单发货</w:t>
      </w:r>
      <w:r>
        <w:rPr>
          <w:rFonts w:hint="eastAsia" w:ascii="宋体" w:hAnsi="宋体" w:cs="宋体"/>
          <w:color w:val="auto"/>
          <w:sz w:val="24"/>
          <w:szCs w:val="24"/>
          <w:highlight w:val="none"/>
          <w:lang w:eastAsia="zh-CN"/>
        </w:rPr>
        <w:t>。</w:t>
      </w:r>
    </w:p>
    <w:p w14:paraId="6752EFC9">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标的物质量要求</w:t>
      </w:r>
    </w:p>
    <w:p w14:paraId="4D2A541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乙方提供的标的物应符合现行有效的国家标准，标的物表面不能有明显锈蚀。乙方提供与标的物相符的材质证明书、合格证等质量文件。</w:t>
      </w:r>
    </w:p>
    <w:p w14:paraId="730F2741">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如乙方为经销商，乙方应保证向甲方提供的标的物为其</w:t>
      </w:r>
      <w:r>
        <w:rPr>
          <w:rFonts w:hint="eastAsia" w:ascii="宋体" w:hAnsi="宋体" w:eastAsia="宋体" w:cs="宋体"/>
          <w:strike w:val="0"/>
          <w:dstrike w:val="0"/>
          <w:color w:val="auto"/>
          <w:sz w:val="24"/>
          <w:szCs w:val="24"/>
          <w:highlight w:val="none"/>
          <w:lang w:val="en-US" w:eastAsia="zh-CN"/>
        </w:rPr>
        <w:t>从厂家</w:t>
      </w:r>
      <w:r>
        <w:rPr>
          <w:rFonts w:hint="eastAsia" w:ascii="宋体" w:hAnsi="宋体" w:eastAsia="宋体" w:cs="宋体"/>
          <w:strike w:val="0"/>
          <w:dstrike w:val="0"/>
          <w:color w:val="auto"/>
          <w:sz w:val="24"/>
          <w:szCs w:val="24"/>
          <w:highlight w:val="none"/>
        </w:rPr>
        <w:t>直接采购。</w:t>
      </w:r>
    </w:p>
    <w:p w14:paraId="42B04B22">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标的物产品包装按照生产企业的技术标准执行，包装应适应运输、装卸、防潮、防雨、防震、防锈等需要，确保物资安全无损运抵甲方指定地点。物资的包装、标记和证件，</w:t>
      </w:r>
      <w:r>
        <w:rPr>
          <w:rFonts w:hint="eastAsia" w:ascii="宋体" w:hAnsi="宋体" w:eastAsia="宋体" w:cs="宋体"/>
          <w:color w:val="auto"/>
          <w:sz w:val="24"/>
          <w:szCs w:val="24"/>
          <w:highlight w:val="none"/>
          <w:lang w:val="en-US" w:eastAsia="zh-CN"/>
        </w:rPr>
        <w:t>须严格遵守相关法律法规规定、符合技术规定及甲方合理要求</w:t>
      </w:r>
      <w:r>
        <w:rPr>
          <w:rFonts w:hint="eastAsia" w:ascii="宋体" w:hAnsi="宋体" w:eastAsia="宋体" w:cs="宋体"/>
          <w:color w:val="auto"/>
          <w:sz w:val="24"/>
          <w:szCs w:val="24"/>
          <w:highlight w:val="none"/>
          <w:lang w:eastAsia="zh-CN"/>
        </w:rPr>
        <w:t>。</w:t>
      </w:r>
    </w:p>
    <w:p w14:paraId="00EC603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乙方对标的物承担终身质量责任，标的物存在缺陷的，乙方应承担赔偿责任。</w:t>
      </w:r>
    </w:p>
    <w:p w14:paraId="65B04671">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乙方提供标的物应符合国家有关环保法律法规的规定，并符合职业健康安全管理体系标准要求，不得对接触货物的甲方有关工作人员的健康造成危害。</w:t>
      </w:r>
    </w:p>
    <w:p w14:paraId="27A704A3">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交货时间、地点与方式</w:t>
      </w:r>
    </w:p>
    <w:p w14:paraId="7DEA01D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乙方应当在甲方指定的时间内交付标的物。</w:t>
      </w:r>
    </w:p>
    <w:p w14:paraId="75A3336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甲、乙双方约定以下两种交货方式中第</w:t>
      </w:r>
      <w:r>
        <w:rPr>
          <w:rFonts w:hint="eastAsia" w:ascii="宋体" w:hAnsi="宋体" w:eastAsia="宋体" w:cs="宋体"/>
          <w:color w:val="auto"/>
          <w:sz w:val="20"/>
          <w:szCs w:val="24"/>
          <w:highlight w:val="none"/>
          <w:u w:val="single"/>
        </w:rPr>
        <w:t xml:space="preserve">     </w:t>
      </w:r>
      <w:r>
        <w:rPr>
          <w:rFonts w:hint="eastAsia" w:ascii="宋体" w:hAnsi="宋体" w:eastAsia="宋体" w:cs="宋体"/>
          <w:color w:val="auto"/>
          <w:sz w:val="24"/>
          <w:szCs w:val="24"/>
          <w:highlight w:val="none"/>
        </w:rPr>
        <w:t>种作为本合同交货方式：</w:t>
      </w:r>
    </w:p>
    <w:p w14:paraId="326D77B3">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 乙方将标的物送至甲方指定地点；</w:t>
      </w:r>
    </w:p>
    <w:p w14:paraId="056DD960">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甲方到乙方指定地点提取标的物，乙方负责装车。</w:t>
      </w:r>
    </w:p>
    <w:p w14:paraId="5191CDF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乙方应于每次发货时提供原厂同批次产品的材质证明书、合格证等质量文件随货同行，并保证牌号、批次号等与标的物相符。</w:t>
      </w:r>
    </w:p>
    <w:p w14:paraId="6B3269C3">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 如乙方为生产企业，质量文件应有生产企业加盖的红色的产品质量证明书专用章；如乙方为经销商，质量文件必须加盖乙方红色的质量证明书专用章。</w:t>
      </w:r>
    </w:p>
    <w:p w14:paraId="6F80DC9D">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乙方不得向甲方提供经伪造、变造、涂改的质量文件。否则乙方承担由此给甲方带来的一切损失。</w:t>
      </w:r>
    </w:p>
    <w:p w14:paraId="2D93D71C">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标的物风险转移</w:t>
      </w:r>
    </w:p>
    <w:p w14:paraId="2CBA953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采取乙方将标的物送至甲方指定地点为交货方式的，标的物卸至甲方所指定的地点时，标的物所有权及风险转移至甲方。采取甲方到乙方指定地点提取标的物的，标的物移至甲方指定的运输工具上时，标的物所有权及风险转移至甲方。</w:t>
      </w:r>
    </w:p>
    <w:p w14:paraId="68800CA6">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标的物验收</w:t>
      </w:r>
    </w:p>
    <w:p w14:paraId="04C497CB">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5.1 标的物交付时，应当由甲方指定的材料验收人员进行现场验收并签认，</w:t>
      </w:r>
      <w:r>
        <w:rPr>
          <w:rFonts w:hint="eastAsia" w:ascii="宋体" w:hAnsi="宋体" w:eastAsia="宋体" w:cs="宋体"/>
          <w:color w:val="auto"/>
          <w:sz w:val="24"/>
          <w:szCs w:val="24"/>
          <w:highlight w:val="none"/>
          <w:lang w:val="en-US" w:eastAsia="zh-CN"/>
        </w:rPr>
        <w:t>此签认</w:t>
      </w:r>
      <w:r>
        <w:rPr>
          <w:rFonts w:hint="eastAsia" w:ascii="宋体" w:hAnsi="宋体" w:eastAsia="宋体" w:cs="宋体"/>
          <w:color w:val="auto"/>
          <w:sz w:val="24"/>
          <w:szCs w:val="24"/>
          <w:highlight w:val="none"/>
        </w:rPr>
        <w:t>仅作为对货物数量的确认</w:t>
      </w:r>
      <w:r>
        <w:rPr>
          <w:rFonts w:hint="eastAsia" w:ascii="宋体" w:hAnsi="宋体" w:eastAsia="宋体" w:cs="宋体"/>
          <w:color w:val="auto"/>
          <w:sz w:val="24"/>
          <w:szCs w:val="24"/>
          <w:highlight w:val="none"/>
          <w:lang w:eastAsia="zh-CN"/>
        </w:rPr>
        <w:t>，不作为对货物质量、价款以及最终结算的确认。</w:t>
      </w:r>
    </w:p>
    <w:p w14:paraId="44A7E3F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5.2按检尺计量的，检尺数量以双方确认为准。</w:t>
      </w:r>
    </w:p>
    <w:p w14:paraId="1269231E">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按过磅检斤计量的，过磅磅差在±3‰（含）之内的，结算数量以乙方磅单数量为准；磅差在±3‰之外的，经双方协商做复磅处理，复磅磅单与乙方磅单磅差仍大于±3‰的，其结算数量以复磅磅单为准，复磅费用由乙方承担。</w:t>
      </w:r>
    </w:p>
    <w:p w14:paraId="5F69E024">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5.4 对于甲方提出的质量异议，乙方应在48小时内作出答复。对于甲方提出的数量异议，乙方要在24小时内处理完毕。如乙方未在甲方提出异议后的24小时内处理完毕，视同认可甲方过磅数量。</w:t>
      </w:r>
      <w:r>
        <w:rPr>
          <w:rFonts w:hint="eastAsia" w:ascii="宋体" w:hAnsi="宋体" w:eastAsia="宋体" w:cs="宋体"/>
          <w:color w:val="auto"/>
          <w:sz w:val="24"/>
          <w:szCs w:val="24"/>
          <w:highlight w:val="none"/>
          <w:lang w:val="en-US" w:eastAsia="zh-CN"/>
        </w:rPr>
        <w:t xml:space="preserve"> </w:t>
      </w:r>
    </w:p>
    <w:p w14:paraId="7084B82D">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5.5 甲方有权要求乙方按本合同要求提供质量文件，如乙方未提供相关文件，甲方有权拒收该次货物，由此造成的损失由乙方承担。</w:t>
      </w:r>
    </w:p>
    <w:p w14:paraId="0004BB94">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5.6 乙方在向甲方供货的同时应当向甲方提供当批货物出库凭证与物流凭证，前述凭证中的供货主体必须与乙方向甲方开具的增值税发票的主体完全一致。如果该出库凭证或物流凭证显示货物系乙方指定的第三方发出，则乙方应当向甲方提供有效证据证明乙方与第三方之间的采购合同等相关资料。如因乙方原因（不限于本条列举情况）给甲方造成税务风险及损失的，乙方应承担由此给甲方造成的一切赔偿责任。</w:t>
      </w:r>
    </w:p>
    <w:p w14:paraId="7F4995BB">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结算方式及期限</w:t>
      </w:r>
    </w:p>
    <w:p w14:paraId="573C076D">
      <w:pPr>
        <w:keepNext w:val="0"/>
        <w:keepLines w:val="0"/>
        <w:pageBreakBefore w:val="0"/>
        <w:widowControl w:val="0"/>
        <w:kinsoku/>
        <w:wordWrap/>
        <w:overflowPunct/>
        <w:topLinePunct w:val="0"/>
        <w:bidi w:val="0"/>
        <w:spacing w:line="440" w:lineRule="exact"/>
        <w:ind w:firstLine="44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eastAsia="宋体" w:cs="宋体"/>
          <w:color w:val="auto"/>
          <w:sz w:val="24"/>
          <w:szCs w:val="24"/>
          <w:highlight w:val="none"/>
        </w:rPr>
        <w:t>6.1</w:t>
      </w:r>
      <w:r>
        <w:rPr>
          <w:rFonts w:hint="eastAsia" w:ascii="宋体" w:hAnsi="宋体" w:cs="宋体"/>
          <w:color w:val="FF0000"/>
          <w:sz w:val="24"/>
          <w:szCs w:val="24"/>
          <w:highlight w:val="none"/>
          <w:lang w:val="en-US" w:eastAsia="zh-CN"/>
        </w:rPr>
        <w:t xml:space="preserve">结算价格： </w:t>
      </w:r>
      <w:r>
        <w:rPr>
          <w:rFonts w:hint="eastAsia" w:ascii="宋体" w:hAnsi="宋体" w:cs="宋体"/>
          <w:color w:val="FF0000"/>
          <w:sz w:val="24"/>
          <w:szCs w:val="24"/>
          <w:highlight w:val="none"/>
          <w:u w:val="single"/>
          <w:lang w:val="en-US" w:eastAsia="zh-CN"/>
        </w:rPr>
        <w:t xml:space="preserve">                                                              </w:t>
      </w:r>
    </w:p>
    <w:p w14:paraId="0AC6CCFC">
      <w:pPr>
        <w:keepNext w:val="0"/>
        <w:keepLines w:val="0"/>
        <w:pageBreakBefore w:val="0"/>
        <w:widowControl w:val="0"/>
        <w:kinsoku/>
        <w:wordWrap/>
        <w:overflowPunct/>
        <w:topLinePunct w:val="0"/>
        <w:bidi w:val="0"/>
        <w:spacing w:line="440" w:lineRule="exact"/>
        <w:textAlignment w:val="auto"/>
        <w:rPr>
          <w:rFonts w:hint="default" w:ascii="宋体" w:hAnsi="宋体" w:eastAsia="宋体" w:cs="宋体"/>
          <w:color w:val="FF0000"/>
          <w:sz w:val="24"/>
          <w:szCs w:val="24"/>
          <w:highlight w:val="green"/>
          <w:lang w:val="en-US" w:eastAsia="zh-CN"/>
        </w:rPr>
      </w:pPr>
      <w:r>
        <w:rPr>
          <w:rFonts w:hint="eastAsia" w:ascii="宋体" w:hAnsi="宋体" w:cs="宋体"/>
          <w:color w:val="FF0000"/>
          <w:sz w:val="24"/>
          <w:szCs w:val="24"/>
          <w:highlight w:val="none"/>
          <w:u w:val="single"/>
          <w:lang w:val="en-US" w:eastAsia="zh-CN"/>
        </w:rPr>
        <w:t xml:space="preserve">                                                                             </w:t>
      </w:r>
      <w:r>
        <w:rPr>
          <w:rFonts w:hint="eastAsia" w:ascii="宋体" w:hAnsi="宋体" w:eastAsia="宋体" w:cs="宋体"/>
          <w:color w:val="FF0000"/>
          <w:sz w:val="24"/>
          <w:szCs w:val="24"/>
          <w:highlight w:val="none"/>
          <w:lang w:val="en-US" w:eastAsia="zh-CN"/>
        </w:rPr>
        <w:t>本合同结算价格为最高限价</w:t>
      </w:r>
      <w:r>
        <w:rPr>
          <w:rFonts w:hint="default"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lang w:val="en-US" w:eastAsia="zh-CN"/>
        </w:rPr>
        <w:t>合同有效期内最高限价不予调整，</w:t>
      </w:r>
      <w:r>
        <w:rPr>
          <w:rFonts w:hint="default" w:ascii="宋体" w:hAnsi="宋体" w:eastAsia="宋体" w:cs="宋体"/>
          <w:color w:val="FF0000"/>
          <w:sz w:val="24"/>
          <w:szCs w:val="24"/>
          <w:highlight w:val="none"/>
          <w:lang w:val="en-US" w:eastAsia="zh-CN"/>
        </w:rPr>
        <w:t>如遇到钢筋行业价格下调，乙方承诺按实际下浮水平降低协议价格，具体金额由双方协商。</w:t>
      </w:r>
    </w:p>
    <w:p w14:paraId="05FD1BCD">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color w:val="auto"/>
          <w:sz w:val="24"/>
          <w:szCs w:val="24"/>
          <w:highlight w:val="none"/>
          <w:lang w:val="en-US" w:eastAsia="zh-CN"/>
        </w:rPr>
        <w:t>6.2</w:t>
      </w:r>
      <w:r>
        <w:rPr>
          <w:rFonts w:hint="eastAsia" w:ascii="宋体" w:hAnsi="宋体" w:eastAsia="宋体" w:cs="宋体"/>
          <w:color w:val="auto"/>
          <w:sz w:val="24"/>
          <w:szCs w:val="24"/>
          <w:highlight w:val="none"/>
          <w:lang w:val="en-US" w:eastAsia="zh-CN"/>
        </w:rPr>
        <w:t>验收合格后，双方签认《结算明细确认表》（样本见附件二）作为</w:t>
      </w:r>
      <w:r>
        <w:rPr>
          <w:rFonts w:hint="eastAsia" w:ascii="宋体" w:hAnsi="宋体" w:eastAsia="宋体" w:cs="宋体"/>
          <w:b w:val="0"/>
          <w:bCs w:val="0"/>
          <w:color w:val="auto"/>
          <w:sz w:val="24"/>
          <w:szCs w:val="24"/>
          <w:highlight w:val="none"/>
          <w:lang w:val="en-US" w:eastAsia="zh-CN"/>
        </w:rPr>
        <w:t>结算和付款唯一依据，办理货款结算人员应是本合同指定人员，并须持有甲方签发的授权委托书。</w:t>
      </w:r>
    </w:p>
    <w:p w14:paraId="69CB24D9">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r>
        <w:rPr>
          <w:rFonts w:hint="eastAsia" w:ascii="宋体" w:hAnsi="宋体" w:cs="宋体"/>
          <w:color w:val="auto"/>
          <w:sz w:val="24"/>
          <w:szCs w:val="24"/>
          <w:highlight w:val="none"/>
          <w:lang w:val="en-US" w:eastAsia="zh-CN"/>
        </w:rPr>
        <w:t>3</w:t>
      </w:r>
      <w:r>
        <w:rPr>
          <w:rFonts w:hint="eastAsia" w:ascii="宋体" w:hAnsi="宋体" w:cs="宋体"/>
          <w:color w:val="FF0000"/>
          <w:sz w:val="24"/>
          <w:szCs w:val="24"/>
          <w:highlight w:val="none"/>
          <w:u w:val="single"/>
          <w:lang w:val="en-US" w:eastAsia="zh-CN"/>
        </w:rPr>
        <w:t>货到甲方指定项目且提供结算资料后7个工作日（到货日后第二天起算（如周一到货的，周二算是第一个工作日）</w:t>
      </w:r>
      <w:r>
        <w:rPr>
          <w:rFonts w:hint="eastAsia" w:ascii="宋体" w:hAnsi="宋体" w:eastAsia="宋体" w:cs="宋体"/>
          <w:color w:val="auto"/>
          <w:sz w:val="24"/>
          <w:szCs w:val="24"/>
          <w:highlight w:val="none"/>
          <w:lang w:val="en-US" w:eastAsia="zh-CN"/>
        </w:rPr>
        <w:t>，甲方以网银、商业汇票、信用证、保理、供应链凭证或其他形式付款，其中以票证等非现金形式支付的期限为12个月内（含）（期限指甲方支付之日起至实际到期日）。由于不同付款方式产生的贴息费、手续费等相关费用由甲方据实承担。</w:t>
      </w:r>
    </w:p>
    <w:p w14:paraId="099B3B7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需乙方提供银行账户的，乙方应保证银行账户真实有效，不得委托其他单位收款。</w:t>
      </w:r>
    </w:p>
    <w:p w14:paraId="0979988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收款单位名称：</w:t>
      </w:r>
      <w:r>
        <w:rPr>
          <w:rFonts w:hint="eastAsia" w:ascii="宋体" w:hAnsi="宋体" w:eastAsia="宋体" w:cs="宋体"/>
          <w:color w:val="auto"/>
          <w:sz w:val="24"/>
          <w:highlight w:val="none"/>
          <w:u w:val="single"/>
        </w:rPr>
        <w:t xml:space="preserve">                          </w:t>
      </w:r>
    </w:p>
    <w:p w14:paraId="102F0EE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u w:val="single"/>
        </w:rPr>
        <w:t xml:space="preserve">                              </w:t>
      </w:r>
    </w:p>
    <w:p w14:paraId="374AC6C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账号：</w:t>
      </w:r>
      <w:r>
        <w:rPr>
          <w:rFonts w:hint="eastAsia" w:ascii="宋体" w:hAnsi="宋体" w:eastAsia="宋体" w:cs="宋体"/>
          <w:color w:val="auto"/>
          <w:sz w:val="24"/>
          <w:highlight w:val="none"/>
          <w:u w:val="single"/>
        </w:rPr>
        <w:t xml:space="preserve">                                  </w:t>
      </w:r>
    </w:p>
    <w:p w14:paraId="649F647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lang w:val="en-US" w:eastAsia="zh-CN"/>
        </w:rPr>
      </w:pPr>
      <w:r>
        <w:rPr>
          <w:rFonts w:hint="eastAsia" w:ascii="宋体" w:hAnsi="宋体" w:eastAsia="宋体" w:cs="宋体"/>
          <w:color w:val="auto"/>
          <w:sz w:val="24"/>
          <w:szCs w:val="22"/>
          <w:highlight w:val="none"/>
          <w:lang w:val="en-US" w:eastAsia="zh-CN"/>
        </w:rPr>
        <w:t xml:space="preserve">银行联行号：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27C3F54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乙方应为增值税一般纳税人，</w:t>
      </w:r>
      <w:r>
        <w:rPr>
          <w:rFonts w:hint="eastAsia" w:ascii="宋体" w:hAnsi="宋体" w:eastAsia="宋体" w:cs="宋体"/>
          <w:color w:val="auto"/>
          <w:sz w:val="24"/>
          <w:szCs w:val="24"/>
          <w:highlight w:val="none"/>
        </w:rPr>
        <w:t>每月25日前（如遇双休日、节假日，则提前至当月25日前最近的工作日）乙方应向甲方提供合法有效的</w:t>
      </w:r>
      <w:r>
        <w:rPr>
          <w:rFonts w:hint="eastAsia" w:ascii="宋体" w:hAnsi="宋体" w:eastAsia="宋体" w:cs="宋体"/>
          <w:color w:val="auto"/>
          <w:sz w:val="24"/>
          <w:szCs w:val="24"/>
          <w:highlight w:val="none"/>
          <w:u w:val="single"/>
        </w:rPr>
        <w:t>增值税专用发票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val="en-US" w:eastAsia="zh-CN"/>
        </w:rPr>
        <w:t>税率13%（</w:t>
      </w:r>
      <w:r>
        <w:rPr>
          <w:rFonts w:hint="eastAsia" w:ascii="宋体" w:hAnsi="宋体" w:eastAsia="宋体" w:cs="宋体"/>
          <w:color w:val="auto"/>
          <w:sz w:val="24"/>
          <w:szCs w:val="24"/>
          <w:highlight w:val="none"/>
          <w:lang w:val="zh-TW" w:eastAsia="zh-CN"/>
        </w:rPr>
        <w:t>如国家税率调整，按最新税率执行，</w:t>
      </w:r>
      <w:r>
        <w:rPr>
          <w:rFonts w:hint="eastAsia" w:ascii="宋体" w:hAnsi="宋体" w:eastAsia="宋体" w:cs="宋体"/>
          <w:color w:val="auto"/>
          <w:sz w:val="24"/>
          <w:szCs w:val="24"/>
          <w:highlight w:val="none"/>
          <w:lang w:val="en-US" w:eastAsia="zh-CN"/>
        </w:rPr>
        <w:t>不含税价格保持不变，含税金额根据原不含税金额及新税率计算）。</w:t>
      </w:r>
      <w:r>
        <w:rPr>
          <w:rFonts w:hint="eastAsia" w:ascii="宋体" w:hAnsi="宋体" w:eastAsia="宋体" w:cs="宋体"/>
          <w:color w:val="auto"/>
          <w:sz w:val="24"/>
          <w:szCs w:val="24"/>
          <w:highlight w:val="none"/>
        </w:rPr>
        <w:t>凡因发票的合法有效性造成的经济法律责任由乙方承担。</w:t>
      </w:r>
    </w:p>
    <w:p w14:paraId="7FC12B80">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strike w:val="0"/>
          <w:dstrike w:val="0"/>
          <w:color w:val="auto"/>
          <w:sz w:val="24"/>
          <w:szCs w:val="24"/>
          <w:highlight w:val="none"/>
          <w:lang w:val="en-US" w:eastAsia="zh-CN"/>
        </w:rPr>
        <w:t>6.</w:t>
      </w:r>
      <w:r>
        <w:rPr>
          <w:rFonts w:hint="eastAsia" w:ascii="宋体" w:hAnsi="宋体" w:cs="宋体"/>
          <w:strike w:val="0"/>
          <w:dstrike w:val="0"/>
          <w:color w:val="auto"/>
          <w:sz w:val="24"/>
          <w:szCs w:val="24"/>
          <w:highlight w:val="none"/>
          <w:lang w:val="en-US" w:eastAsia="zh-CN"/>
        </w:rPr>
        <w:t>5</w:t>
      </w:r>
      <w:r>
        <w:rPr>
          <w:rFonts w:hint="eastAsia" w:ascii="宋体" w:hAnsi="宋体" w:eastAsia="宋体" w:cs="宋体"/>
          <w:strike w:val="0"/>
          <w:dstrike w:val="0"/>
          <w:color w:val="auto"/>
          <w:sz w:val="24"/>
          <w:szCs w:val="24"/>
          <w:highlight w:val="none"/>
          <w:lang w:val="en-US" w:eastAsia="zh-CN"/>
        </w:rPr>
        <w:t>若乙方未按时或未全部提供符合要求的</w:t>
      </w:r>
      <w:r>
        <w:rPr>
          <w:rFonts w:hint="eastAsia" w:ascii="宋体" w:hAnsi="宋体" w:eastAsia="宋体" w:cs="宋体"/>
          <w:color w:val="auto"/>
          <w:sz w:val="24"/>
          <w:szCs w:val="24"/>
          <w:highlight w:val="none"/>
          <w:u w:val="single"/>
        </w:rPr>
        <w:t>增值税专用发票</w:t>
      </w:r>
      <w:r>
        <w:rPr>
          <w:rFonts w:hint="eastAsia" w:ascii="宋体" w:hAnsi="宋体" w:eastAsia="宋体" w:cs="宋体"/>
          <w:strike w:val="0"/>
          <w:dstrike w:val="0"/>
          <w:color w:val="auto"/>
          <w:sz w:val="24"/>
          <w:szCs w:val="24"/>
          <w:highlight w:val="none"/>
          <w:lang w:val="en-US" w:eastAsia="zh-CN"/>
        </w:rPr>
        <w:t>，</w:t>
      </w:r>
      <w:r>
        <w:rPr>
          <w:rFonts w:hint="eastAsia" w:ascii="宋体" w:hAnsi="宋体" w:eastAsia="宋体" w:cs="宋体"/>
          <w:color w:val="auto"/>
          <w:sz w:val="24"/>
          <w:szCs w:val="24"/>
          <w:highlight w:val="none"/>
        </w:rPr>
        <w:t>甲方有权停止后续合作及付款，</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由乙方承担全部</w:t>
      </w:r>
      <w:r>
        <w:rPr>
          <w:rFonts w:hint="eastAsia" w:ascii="宋体" w:hAnsi="宋体" w:eastAsia="宋体" w:cs="宋体"/>
          <w:color w:val="auto"/>
          <w:sz w:val="24"/>
          <w:szCs w:val="24"/>
          <w:highlight w:val="none"/>
          <w:lang w:val="en-US" w:eastAsia="zh-CN"/>
        </w:rPr>
        <w:t>责任</w:t>
      </w:r>
      <w:r>
        <w:rPr>
          <w:rFonts w:hint="eastAsia" w:ascii="宋体" w:hAnsi="宋体" w:eastAsia="宋体" w:cs="宋体"/>
          <w:color w:val="auto"/>
          <w:sz w:val="24"/>
          <w:szCs w:val="24"/>
          <w:highlight w:val="none"/>
        </w:rPr>
        <w:t>。因</w:t>
      </w: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方自行作废已经提交给</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方的增值税发票，开具的发票不规范、不合法、不及时给</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方造成损失的，</w:t>
      </w: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方应承担票面金额25%的违约金，或承担相应赔偿责任，包括但不限于税款、滞纳金、违约金及相关损失等，</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方有权在当期付款中直接扣除。</w:t>
      </w:r>
    </w:p>
    <w:p w14:paraId="6C72A8AD">
      <w:pPr>
        <w:keepNext w:val="0"/>
        <w:keepLines w:val="0"/>
        <w:pageBreakBefore w:val="0"/>
        <w:widowControl w:val="0"/>
        <w:kinsoku/>
        <w:wordWrap/>
        <w:overflowPunct/>
        <w:topLinePunct w:val="0"/>
        <w:bidi w:val="0"/>
        <w:spacing w:line="420" w:lineRule="exact"/>
        <w:ind w:firstLine="43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乙方必须履行对已开票据完整缴纳税金的义务。每季度第一个月25号前，乙方应向甲方提交税务机关出具的最近一个月所属期的《完税证明》和最近一个月内《无欠税证明》：否则，甲方有权拒绝支付货款，且不视为违约行为，乙方不得以此为由消极或停止履行合同义务。</w:t>
      </w:r>
    </w:p>
    <w:p w14:paraId="0D40E6F3">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如采用</w:t>
      </w:r>
      <w:r>
        <w:rPr>
          <w:rFonts w:hint="eastAsia" w:ascii="宋体" w:hAnsi="宋体" w:eastAsia="宋体" w:cs="宋体"/>
          <w:color w:val="auto"/>
          <w:sz w:val="24"/>
          <w:szCs w:val="24"/>
          <w:highlight w:val="none"/>
        </w:rPr>
        <w:t>乙方将标的物送至甲方指定地点</w:t>
      </w:r>
      <w:r>
        <w:rPr>
          <w:rFonts w:hint="eastAsia" w:ascii="宋体" w:hAnsi="宋体" w:eastAsia="宋体" w:cs="宋体"/>
          <w:color w:val="auto"/>
          <w:sz w:val="24"/>
          <w:szCs w:val="24"/>
          <w:highlight w:val="none"/>
          <w:lang w:eastAsia="zh-CN"/>
        </w:rPr>
        <w:t>为交货方式</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采取一票结算，</w:t>
      </w:r>
      <w:r>
        <w:rPr>
          <w:rFonts w:hint="eastAsia" w:ascii="宋体" w:hAnsi="宋体" w:eastAsia="宋体" w:cs="宋体"/>
          <w:color w:val="auto"/>
          <w:sz w:val="24"/>
          <w:szCs w:val="24"/>
          <w:highlight w:val="none"/>
          <w:lang w:eastAsia="zh-CN"/>
        </w:rPr>
        <w:t>乙方开具的增值税专用发票的单价中应包含运输相关费用。</w:t>
      </w:r>
    </w:p>
    <w:p w14:paraId="272B916F">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不能提供以下单据的，</w:t>
      </w:r>
      <w:r>
        <w:rPr>
          <w:rFonts w:hint="eastAsia" w:ascii="宋体" w:hAnsi="宋体" w:eastAsia="宋体" w:cs="宋体"/>
          <w:color w:val="auto"/>
          <w:sz w:val="24"/>
          <w:szCs w:val="22"/>
          <w:highlight w:val="none"/>
        </w:rPr>
        <w:t>甲方有权拒付</w:t>
      </w:r>
      <w:r>
        <w:rPr>
          <w:rFonts w:hint="eastAsia" w:ascii="宋体" w:hAnsi="宋体" w:eastAsia="宋体" w:cs="宋体"/>
          <w:color w:val="auto"/>
          <w:sz w:val="24"/>
          <w:szCs w:val="22"/>
          <w:highlight w:val="none"/>
          <w:lang w:val="en-US" w:eastAsia="zh-CN"/>
        </w:rPr>
        <w:t>相应</w:t>
      </w:r>
      <w:r>
        <w:rPr>
          <w:rFonts w:hint="eastAsia" w:ascii="宋体" w:hAnsi="宋体" w:eastAsia="宋体" w:cs="宋体"/>
          <w:color w:val="auto"/>
          <w:sz w:val="24"/>
          <w:szCs w:val="22"/>
          <w:highlight w:val="none"/>
        </w:rPr>
        <w:t>款项，同时不承担任何违约责任</w:t>
      </w:r>
      <w:r>
        <w:rPr>
          <w:rFonts w:hint="eastAsia" w:ascii="宋体" w:hAnsi="宋体" w:eastAsia="宋体" w:cs="宋体"/>
          <w:color w:val="auto"/>
          <w:sz w:val="24"/>
          <w:szCs w:val="24"/>
          <w:highlight w:val="none"/>
        </w:rPr>
        <w:t>：</w:t>
      </w:r>
    </w:p>
    <w:p w14:paraId="6C36B66F">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如交货方式为乙方将标的物送至甲方指定地点，结算时乙方需同时提供标的物对应的出库单及由甲方客户签字确认的收货凭证；</w:t>
      </w:r>
    </w:p>
    <w:p w14:paraId="607C1830">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如交货方式为甲方到乙方指定地点提取标的物，结算时乙方需提供由甲方提货人员签字确认的出库单。</w:t>
      </w:r>
    </w:p>
    <w:p w14:paraId="3AACF8F3">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若采购订单日期在乙方发货日期之后，即先送货、后收到订单的情况，</w:t>
      </w:r>
      <w:r>
        <w:rPr>
          <w:rFonts w:hint="eastAsia" w:ascii="宋体" w:hAnsi="宋体" w:eastAsia="宋体" w:cs="宋体"/>
          <w:color w:val="auto"/>
          <w:sz w:val="24"/>
          <w:szCs w:val="22"/>
          <w:highlight w:val="none"/>
        </w:rPr>
        <w:t>甲方有权拒付</w:t>
      </w:r>
      <w:r>
        <w:rPr>
          <w:rFonts w:hint="eastAsia" w:ascii="宋体" w:hAnsi="宋体" w:eastAsia="宋体" w:cs="宋体"/>
          <w:color w:val="auto"/>
          <w:sz w:val="24"/>
          <w:szCs w:val="22"/>
          <w:highlight w:val="none"/>
          <w:lang w:val="en-US" w:eastAsia="zh-CN"/>
        </w:rPr>
        <w:t>相应</w:t>
      </w:r>
      <w:r>
        <w:rPr>
          <w:rFonts w:hint="eastAsia" w:ascii="宋体" w:hAnsi="宋体" w:eastAsia="宋体" w:cs="宋体"/>
          <w:color w:val="auto"/>
          <w:sz w:val="24"/>
          <w:szCs w:val="22"/>
          <w:highlight w:val="none"/>
        </w:rPr>
        <w:t>款项，同时不承担任何违约责任</w:t>
      </w:r>
      <w:r>
        <w:rPr>
          <w:rFonts w:hint="eastAsia" w:ascii="宋体" w:hAnsi="宋体" w:eastAsia="宋体" w:cs="宋体"/>
          <w:color w:val="auto"/>
          <w:sz w:val="24"/>
          <w:szCs w:val="24"/>
          <w:highlight w:val="none"/>
        </w:rPr>
        <w:t>。</w:t>
      </w:r>
    </w:p>
    <w:p w14:paraId="4529FBBF">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highlight w:val="none"/>
        </w:rPr>
      </w:pPr>
      <w:r>
        <w:rPr>
          <w:rFonts w:hint="eastAsia" w:ascii="宋体" w:hAnsi="宋体" w:eastAsia="宋体" w:cs="宋体"/>
          <w:strike w:val="0"/>
          <w:dstrike w:val="0"/>
          <w:color w:val="auto"/>
          <w:sz w:val="24"/>
          <w:szCs w:val="24"/>
          <w:highlight w:val="none"/>
          <w:u w:val="none"/>
          <w:lang w:val="en-US" w:eastAsia="zh-CN"/>
        </w:rPr>
        <w:t>6.</w:t>
      </w:r>
      <w:r>
        <w:rPr>
          <w:rFonts w:hint="eastAsia" w:ascii="宋体" w:hAnsi="宋体" w:cs="宋体"/>
          <w:strike w:val="0"/>
          <w:dstrike w:val="0"/>
          <w:color w:val="auto"/>
          <w:sz w:val="24"/>
          <w:szCs w:val="24"/>
          <w:highlight w:val="none"/>
          <w:u w:val="none"/>
          <w:lang w:val="en-US" w:eastAsia="zh-CN"/>
        </w:rPr>
        <w:t>10</w:t>
      </w:r>
      <w:r>
        <w:rPr>
          <w:rFonts w:hint="eastAsia" w:ascii="宋体" w:hAnsi="宋体" w:eastAsia="宋体" w:cs="宋体"/>
          <w:color w:val="auto"/>
          <w:sz w:val="24"/>
          <w:highlight w:val="none"/>
        </w:rPr>
        <w:t>乙方同意给予甲方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万赊购额度，一旦甲方应付账款超过赊购额度，乙方应书面通知甲方，并停止发货。若乙方继续发货，全部后果由乙方承担，甲方不承担超发部分所产生的包括支付货款在内的一切责任。</w:t>
      </w:r>
    </w:p>
    <w:p w14:paraId="4441A5E0">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lang w:val="en-US" w:eastAsia="zh-CN"/>
        </w:rPr>
      </w:pPr>
      <w:r>
        <w:rPr>
          <w:rFonts w:hint="eastAsia" w:ascii="宋体" w:hAnsi="宋体" w:eastAsia="宋体" w:cs="宋体"/>
          <w:color w:val="auto"/>
          <w:sz w:val="24"/>
          <w:highlight w:val="none"/>
          <w:lang w:val="en-US" w:eastAsia="zh-CN"/>
        </w:rPr>
        <w:t>6.10乙方承诺，乙方在合作期内收取任何一笔款项时，如双方没有书面明确约定或乙方在收到此笔款项之日起5个工作日内未提出异议，即视为该笔款项之前因逾期付款产生的逾期利息乙方不再收取。</w:t>
      </w:r>
    </w:p>
    <w:p w14:paraId="4C3B6052">
      <w:pPr>
        <w:pStyle w:val="9"/>
        <w:keepNext w:val="0"/>
        <w:keepLines w:val="0"/>
        <w:pageBreakBefore w:val="0"/>
        <w:widowControl w:val="0"/>
        <w:numPr>
          <w:ilvl w:val="0"/>
          <w:numId w:val="1"/>
        </w:numPr>
        <w:kinsoku/>
        <w:wordWrap/>
        <w:overflowPunct/>
        <w:topLinePunct w:val="0"/>
        <w:bidi w:val="0"/>
        <w:spacing w:line="420" w:lineRule="exact"/>
        <w:ind w:left="378" w:leftChars="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 xml:space="preserve">授权     </w:t>
      </w:r>
    </w:p>
    <w:p w14:paraId="494107C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highlight w:val="none"/>
          <w:lang w:val="en-US" w:eastAsia="zh-CN"/>
        </w:rPr>
        <w:t>与本合同履行相关的授权，在附件六《综合授权书》中予以约定。</w:t>
      </w:r>
    </w:p>
    <w:p w14:paraId="300E19C1">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违约责任</w:t>
      </w:r>
      <w:r>
        <w:rPr>
          <w:rFonts w:hint="eastAsia" w:ascii="宋体" w:hAnsi="宋体" w:eastAsia="宋体" w:cs="宋体"/>
          <w:b/>
          <w:color w:val="auto"/>
          <w:sz w:val="24"/>
          <w:szCs w:val="24"/>
          <w:highlight w:val="none"/>
          <w:lang w:val="en-US" w:eastAsia="zh-CN"/>
        </w:rPr>
        <w:t xml:space="preserve"> </w:t>
      </w:r>
    </w:p>
    <w:p w14:paraId="3CC5D93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甲乙双方任何一方不履行合同义务或者履行合同义务不符合约定，给对方造成损失的，违约方应当赔偿因违约所造成的损失，包括直接损失和间接损失。</w:t>
      </w:r>
    </w:p>
    <w:p w14:paraId="17F7163E">
      <w:pPr>
        <w:keepNext w:val="0"/>
        <w:keepLines w:val="0"/>
        <w:pageBreakBefore w:val="0"/>
        <w:widowControl w:val="0"/>
        <w:kinsoku/>
        <w:wordWrap/>
        <w:overflowPunct/>
        <w:topLinePunct w:val="0"/>
        <w:bidi w:val="0"/>
        <w:spacing w:line="440" w:lineRule="exact"/>
        <w:ind w:firstLine="440" w:firstLineChars="200"/>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8.2 </w:t>
      </w:r>
      <w:r>
        <w:rPr>
          <w:rFonts w:hint="eastAsia" w:ascii="宋体" w:hAnsi="宋体" w:eastAsia="宋体" w:cs="宋体"/>
          <w:color w:val="auto"/>
          <w:sz w:val="24"/>
          <w:szCs w:val="24"/>
          <w:highlight w:val="none"/>
        </w:rPr>
        <w:t>如果乙方不能如期履约，每延迟</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天交付标的物，应向甲方支付相应批次标的物价款1%的违约金，甲方可从应支付价款中直接扣除，乙方还应承担由此给甲方造成的全部损失。延期交货最多不得超过7</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rPr>
        <w:t>，否则</w:t>
      </w:r>
      <w:r>
        <w:rPr>
          <w:rFonts w:hint="eastAsia" w:ascii="宋体" w:hAnsi="宋体" w:eastAsia="宋体" w:cs="宋体"/>
          <w:color w:val="auto"/>
          <w:sz w:val="24"/>
          <w:szCs w:val="24"/>
          <w:highlight w:val="none"/>
          <w:lang w:val="en-US" w:eastAsia="zh-CN"/>
        </w:rPr>
        <w:t>甲方有权单方解除合同</w:t>
      </w:r>
      <w:r>
        <w:rPr>
          <w:rFonts w:hint="eastAsia" w:ascii="宋体" w:hAnsi="宋体" w:eastAsia="宋体" w:cs="宋体"/>
          <w:color w:val="auto"/>
          <w:sz w:val="24"/>
          <w:szCs w:val="24"/>
          <w:highlight w:val="none"/>
        </w:rPr>
        <w:t>。</w:t>
      </w:r>
      <w:r>
        <w:rPr>
          <w:rFonts w:hint="eastAsia" w:ascii="宋体" w:hAnsi="宋体" w:eastAsia="宋体" w:cs="宋体"/>
          <w:color w:val="FF0000"/>
          <w:sz w:val="24"/>
          <w:szCs w:val="24"/>
          <w:highlight w:val="none"/>
          <w:lang w:val="en-US" w:eastAsia="zh-CN"/>
        </w:rPr>
        <w:t>如果甲方未按时支付货款，甲方应按照合同订立时1年期贷款市场报价利率向乙方支付资金占用费。资金占用费=逾期未支付金额*逾期天数*合同订立时1年期贷款市场报价利率/360。资金占用费累计不超过逾期付款总金额的3%，此外不再计取违约金、相应利息、罚息等。</w:t>
      </w:r>
    </w:p>
    <w:p w14:paraId="43AAD583">
      <w:pPr>
        <w:keepNext w:val="0"/>
        <w:keepLines w:val="0"/>
        <w:pageBreakBefore w:val="0"/>
        <w:widowControl w:val="0"/>
        <w:kinsoku/>
        <w:wordWrap/>
        <w:overflowPunct/>
        <w:topLinePunct w:val="0"/>
        <w:bidi w:val="0"/>
        <w:spacing w:line="420" w:lineRule="exact"/>
        <w:ind w:firstLine="440" w:firstLineChars="200"/>
        <w:textAlignment w:val="auto"/>
        <w:rPr>
          <w:rFonts w:hint="eastAsia"/>
        </w:rPr>
      </w:pPr>
      <w:r>
        <w:rPr>
          <w:rFonts w:hint="eastAsia" w:ascii="宋体" w:hAnsi="宋体" w:eastAsia="宋体" w:cs="宋体"/>
          <w:color w:val="FF0000"/>
          <w:kern w:val="2"/>
          <w:sz w:val="24"/>
          <w:szCs w:val="24"/>
          <w:highlight w:val="none"/>
          <w:lang w:val="en-US" w:eastAsia="zh-CN" w:bidi="ar-SA"/>
        </w:rPr>
        <w:t>在合同有效期内，乙方</w:t>
      </w:r>
      <w:r>
        <w:rPr>
          <w:rFonts w:hint="eastAsia" w:ascii="宋体" w:hAnsi="宋体" w:cs="宋体"/>
          <w:color w:val="FF0000"/>
          <w:kern w:val="2"/>
          <w:sz w:val="24"/>
          <w:szCs w:val="24"/>
          <w:highlight w:val="none"/>
          <w:lang w:val="en-US" w:eastAsia="zh-CN" w:bidi="ar-SA"/>
        </w:rPr>
        <w:t>未按照甲方采购订单要求发货的</w:t>
      </w:r>
      <w:r>
        <w:rPr>
          <w:rFonts w:hint="eastAsia" w:ascii="宋体" w:hAnsi="宋体" w:eastAsia="宋体" w:cs="宋体"/>
          <w:color w:val="FF0000"/>
          <w:kern w:val="2"/>
          <w:sz w:val="24"/>
          <w:szCs w:val="24"/>
          <w:highlight w:val="none"/>
          <w:lang w:val="en-US" w:eastAsia="zh-CN" w:bidi="ar-SA"/>
        </w:rPr>
        <w:t>，甲方有权选择其他供应商采购，</w:t>
      </w:r>
      <w:r>
        <w:rPr>
          <w:rFonts w:hint="eastAsia" w:ascii="宋体" w:hAnsi="宋体" w:cs="宋体"/>
          <w:color w:val="FF0000"/>
          <w:kern w:val="2"/>
          <w:sz w:val="24"/>
          <w:szCs w:val="24"/>
          <w:highlight w:val="none"/>
          <w:lang w:val="en-US" w:eastAsia="zh-CN" w:bidi="ar-SA"/>
        </w:rPr>
        <w:t>由此给甲方</w:t>
      </w:r>
      <w:r>
        <w:rPr>
          <w:rFonts w:hint="eastAsia" w:ascii="宋体" w:hAnsi="宋体" w:eastAsia="宋体" w:cs="宋体"/>
          <w:color w:val="FF0000"/>
          <w:kern w:val="2"/>
          <w:sz w:val="24"/>
          <w:szCs w:val="24"/>
          <w:highlight w:val="none"/>
          <w:lang w:val="en-US" w:eastAsia="zh-CN" w:bidi="ar-SA"/>
        </w:rPr>
        <w:t>造成的采购成本的增加，</w:t>
      </w:r>
      <w:r>
        <w:rPr>
          <w:rFonts w:hint="eastAsia" w:ascii="宋体" w:hAnsi="宋体" w:cs="宋体"/>
          <w:color w:val="FF0000"/>
          <w:kern w:val="2"/>
          <w:sz w:val="24"/>
          <w:szCs w:val="24"/>
          <w:highlight w:val="none"/>
          <w:lang w:val="en-US" w:eastAsia="zh-CN" w:bidi="ar-SA"/>
        </w:rPr>
        <w:t>甲方有权在履约保证金中予以扣除。同时乙方应</w:t>
      </w:r>
      <w:r>
        <w:rPr>
          <w:rFonts w:hint="eastAsia" w:ascii="宋体" w:hAnsi="宋体" w:eastAsia="宋体" w:cs="宋体"/>
          <w:color w:val="FF0000"/>
          <w:kern w:val="2"/>
          <w:sz w:val="24"/>
          <w:szCs w:val="24"/>
          <w:highlight w:val="none"/>
          <w:lang w:val="en-US" w:eastAsia="zh-CN" w:bidi="ar-SA"/>
        </w:rPr>
        <w:t>承担以下违约责任：</w:t>
      </w:r>
      <w:r>
        <w:rPr>
          <w:rFonts w:ascii="宋体" w:hAnsi="宋体" w:eastAsia="宋体" w:cs="宋体"/>
          <w:color w:val="FF0000"/>
          <w:sz w:val="24"/>
          <w:szCs w:val="24"/>
          <w:highlight w:val="none"/>
        </w:rPr>
        <w:t>第一次</w:t>
      </w:r>
      <w:r>
        <w:rPr>
          <w:rFonts w:hint="eastAsia" w:ascii="宋体" w:hAnsi="宋体" w:eastAsia="宋体" w:cs="宋体"/>
          <w:color w:val="FF0000"/>
          <w:sz w:val="24"/>
          <w:szCs w:val="24"/>
          <w:highlight w:val="none"/>
          <w:lang w:val="en-US" w:eastAsia="zh-CN"/>
        </w:rPr>
        <w:t>进行</w:t>
      </w:r>
      <w:r>
        <w:rPr>
          <w:rFonts w:ascii="宋体" w:hAnsi="宋体" w:eastAsia="宋体" w:cs="宋体"/>
          <w:color w:val="FF0000"/>
          <w:sz w:val="24"/>
          <w:szCs w:val="24"/>
          <w:highlight w:val="none"/>
        </w:rPr>
        <w:t>警告</w:t>
      </w:r>
      <w:r>
        <w:rPr>
          <w:rFonts w:hint="eastAsia" w:ascii="宋体" w:hAnsi="宋体" w:eastAsia="宋体" w:cs="宋体"/>
          <w:color w:val="FF0000"/>
          <w:sz w:val="24"/>
          <w:szCs w:val="24"/>
          <w:highlight w:val="none"/>
          <w:lang w:val="en-US" w:eastAsia="zh-CN"/>
        </w:rPr>
        <w:t>；</w:t>
      </w:r>
      <w:r>
        <w:rPr>
          <w:rFonts w:ascii="宋体" w:hAnsi="宋体" w:eastAsia="宋体" w:cs="宋体"/>
          <w:color w:val="FF0000"/>
          <w:sz w:val="24"/>
          <w:szCs w:val="24"/>
          <w:highlight w:val="none"/>
        </w:rPr>
        <w:t>第二次扣除履约保证金</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万元</w:t>
      </w:r>
      <w:r>
        <w:rPr>
          <w:rFonts w:hint="eastAsia" w:ascii="宋体" w:hAnsi="宋体" w:eastAsia="宋体" w:cs="宋体"/>
          <w:color w:val="FF0000"/>
          <w:sz w:val="24"/>
          <w:szCs w:val="24"/>
          <w:highlight w:val="none"/>
          <w:lang w:val="en-US" w:eastAsia="zh-CN"/>
        </w:rPr>
        <w:t>；</w:t>
      </w:r>
      <w:r>
        <w:rPr>
          <w:rFonts w:ascii="宋体" w:hAnsi="宋体" w:eastAsia="宋体" w:cs="宋体"/>
          <w:color w:val="FF0000"/>
          <w:sz w:val="24"/>
          <w:szCs w:val="24"/>
          <w:highlight w:val="none"/>
        </w:rPr>
        <w:t>第三次扣除履约保证金</w:t>
      </w:r>
      <w:r>
        <w:rPr>
          <w:rFonts w:hint="eastAsia" w:ascii="宋体" w:hAnsi="宋体" w:eastAsia="宋体" w:cs="宋体"/>
          <w:color w:val="FF0000"/>
          <w:sz w:val="24"/>
          <w:szCs w:val="24"/>
          <w:highlight w:val="none"/>
          <w:lang w:val="en-US" w:eastAsia="zh-CN"/>
        </w:rPr>
        <w:t>3</w:t>
      </w:r>
      <w:r>
        <w:rPr>
          <w:rFonts w:ascii="宋体" w:hAnsi="宋体" w:eastAsia="宋体" w:cs="宋体"/>
          <w:color w:val="FF0000"/>
          <w:sz w:val="24"/>
          <w:szCs w:val="24"/>
          <w:highlight w:val="none"/>
        </w:rPr>
        <w:t>万元</w:t>
      </w:r>
      <w:r>
        <w:rPr>
          <w:rFonts w:hint="eastAsia" w:ascii="宋体" w:hAnsi="宋体" w:eastAsia="宋体" w:cs="宋体"/>
          <w:color w:val="FF0000"/>
          <w:sz w:val="24"/>
          <w:szCs w:val="24"/>
          <w:highlight w:val="none"/>
          <w:lang w:val="en-US" w:eastAsia="zh-CN"/>
        </w:rPr>
        <w:t>；</w:t>
      </w:r>
      <w:r>
        <w:rPr>
          <w:rFonts w:ascii="宋体" w:hAnsi="宋体" w:eastAsia="宋体" w:cs="宋体"/>
          <w:color w:val="FF0000"/>
          <w:sz w:val="24"/>
          <w:szCs w:val="24"/>
          <w:highlight w:val="none"/>
        </w:rPr>
        <w:t>第四次全额扣除履约保证金并终止合同。</w:t>
      </w:r>
    </w:p>
    <w:p w14:paraId="7EB2F6EB">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如果甲方未按时支付货款，甲方应按照合同订立时1年期贷款市场报价利率向乙方支付资金占用费。资金占用费=逾期未支付金额*逾期天数*合同订立时1年期贷款市场报价利率/360。资金占用费累计不超过逾期付款总金额的3%，此外不再计取违约金、相应利息、罚息等。</w:t>
      </w:r>
    </w:p>
    <w:p w14:paraId="72F179A2">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若乙方存在如下情况之一：</w:t>
      </w:r>
    </w:p>
    <w:p w14:paraId="5ED1D6CB">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（1）以过磅检斤方式交货的钢材，磅差超出6‰以上（含6‰）；</w:t>
      </w:r>
    </w:p>
    <w:p w14:paraId="09C507ED">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（2）在未经甲方同意的情况下进行钢厂的调换（产地与甲方给乙方的采购订单不符），造成产地不符；</w:t>
      </w:r>
    </w:p>
    <w:p w14:paraId="519FF13B">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（3）其他欺诈行为；</w:t>
      </w:r>
    </w:p>
    <w:p w14:paraId="7850F7FA">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乙方应承担下列违约责任：</w:t>
      </w:r>
    </w:p>
    <w:p w14:paraId="5DEF1B13">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（1）立即更换为符合要求的货物并承担更换货物的全部费用；</w:t>
      </w:r>
    </w:p>
    <w:p w14:paraId="2B1B7F41">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（2）给予甲方该批次货物价值50%的赔偿，且单批次的赔偿金额不低于10万元；</w:t>
      </w:r>
    </w:p>
    <w:p w14:paraId="5564DA04">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（3）第三方向甲方要求退换货、索赔或罚款的，甲方有权向乙方追偿并由乙方承担全部赔偿责任。</w:t>
      </w:r>
    </w:p>
    <w:p w14:paraId="44AC9F7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val="en-US" w:eastAsia="zh-CN"/>
        </w:rPr>
        <w:t>8</w:t>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lang w:val="en-US" w:eastAsia="zh-CN"/>
        </w:rPr>
        <w:t>4</w:t>
      </w:r>
      <w:r>
        <w:rPr>
          <w:rFonts w:hint="eastAsia" w:ascii="宋体" w:hAnsi="宋体" w:eastAsia="宋体" w:cs="宋体"/>
          <w:color w:val="auto"/>
          <w:sz w:val="24"/>
          <w:szCs w:val="22"/>
          <w:highlight w:val="none"/>
        </w:rPr>
        <w:t xml:space="preserve"> 未经甲方书面同意，乙方不得将本合同项下的权利全部或者部分转让给第三人，否则视为乙方违约，乙方需向甲方支付合同总价20%的违约金，并承担由此给甲方造成的全部损失。同时乙方所签署的转让协议对甲方不发生效力。</w:t>
      </w:r>
    </w:p>
    <w:p w14:paraId="3F65E920">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lang w:val="en-US" w:eastAsia="zh-CN"/>
        </w:rPr>
        <w:t>8</w:t>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lang w:val="en-US" w:eastAsia="zh-CN"/>
        </w:rPr>
        <w:t>5</w:t>
      </w:r>
      <w:r>
        <w:rPr>
          <w:rFonts w:hint="eastAsia" w:ascii="宋体" w:hAnsi="宋体" w:eastAsia="宋体" w:cs="宋体"/>
          <w:color w:val="auto"/>
          <w:sz w:val="24"/>
          <w:szCs w:val="22"/>
          <w:highlight w:val="none"/>
        </w:rPr>
        <w:t>如乙方与其他第三方的劳动争议或业务纠纷，导致甲方涉诉或法院对甲方账号或其他财产采取查封、冻结、划拨、扣押、拍卖、折价、执行等强制措施时，乙方需向甲方支付合同总价10%的违约金。若生效裁判文书列明甲方承担费用的，乙方同意承担该费用；如由甲方先行垫付的，乙方应另向甲方支付该费用20%的违约金。以上费用及违约金甲方有权在结算款中直接扣除，同时甲方有权单方面解除合同，一切后果由乙方自行承担</w:t>
      </w:r>
      <w:r>
        <w:rPr>
          <w:rFonts w:hint="eastAsia" w:ascii="宋体" w:hAnsi="宋体" w:eastAsia="宋体" w:cs="宋体"/>
          <w:color w:val="auto"/>
          <w:sz w:val="24"/>
          <w:szCs w:val="22"/>
          <w:highlight w:val="none"/>
          <w:lang w:eastAsia="zh-CN"/>
        </w:rPr>
        <w:t>。</w:t>
      </w:r>
    </w:p>
    <w:p w14:paraId="3396A546">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lang w:val="en-US" w:eastAsia="zh-CN"/>
        </w:rPr>
        <w:t>8</w:t>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lang w:val="en-US" w:eastAsia="zh-CN"/>
        </w:rPr>
        <w:t>6</w:t>
      </w:r>
      <w:r>
        <w:rPr>
          <w:rFonts w:hint="eastAsia" w:ascii="宋体" w:hAnsi="宋体" w:eastAsia="宋体" w:cs="宋体"/>
          <w:color w:val="auto"/>
          <w:sz w:val="24"/>
          <w:szCs w:val="22"/>
          <w:highlight w:val="none"/>
        </w:rPr>
        <w:t xml:space="preserve"> 乙方应当对本合同的内容、在履行期间获得的甲方商务、财务、知识产权、商标、专利技术以及其他标明保密的文件、资料与信息的内容保守秘密。除非甲方事先书面同意，乙方不得向本合同以外的任何第三方披露或提供任何资料与文件，乙方违反本约定，应向甲方支付合同总价20%的违约金，并承担由此给甲方造成的全部损失。保密义务在本合同期满、解除或终止后仍然有效</w:t>
      </w:r>
      <w:r>
        <w:rPr>
          <w:rFonts w:hint="eastAsia" w:ascii="宋体" w:hAnsi="宋体" w:eastAsia="宋体" w:cs="宋体"/>
          <w:color w:val="auto"/>
          <w:sz w:val="24"/>
          <w:szCs w:val="22"/>
          <w:highlight w:val="none"/>
          <w:lang w:eastAsia="zh-CN"/>
        </w:rPr>
        <w:t>。</w:t>
      </w:r>
    </w:p>
    <w:p w14:paraId="794C4191">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lang w:val="en-US" w:eastAsia="zh-CN"/>
        </w:rPr>
        <w:t xml:space="preserve">8.7 </w:t>
      </w:r>
      <w:r>
        <w:rPr>
          <w:rFonts w:hint="eastAsia" w:ascii="宋体" w:hAnsi="宋体" w:eastAsia="宋体" w:cs="宋体"/>
          <w:color w:val="auto"/>
          <w:sz w:val="24"/>
          <w:szCs w:val="22"/>
          <w:highlight w:val="none"/>
        </w:rPr>
        <w:t>乙方按甲方要求和期限内提供真实、合法有效发票，若乙方未提供发票、提供虚假或不符合国家规定的发票，甲方有权拒付款项，同时不承担任何违约责任</w:t>
      </w:r>
      <w:r>
        <w:rPr>
          <w:rFonts w:hint="eastAsia" w:ascii="宋体" w:hAnsi="宋体" w:eastAsia="宋体" w:cs="宋体"/>
          <w:color w:val="auto"/>
          <w:sz w:val="24"/>
          <w:szCs w:val="22"/>
          <w:highlight w:val="none"/>
          <w:lang w:eastAsia="zh-CN"/>
        </w:rPr>
        <w:t>。</w:t>
      </w:r>
    </w:p>
    <w:p w14:paraId="24F0B2DF">
      <w:pPr>
        <w:pStyle w:val="10"/>
        <w:keepNext w:val="0"/>
        <w:keepLines w:val="0"/>
        <w:pageBreakBefore w:val="0"/>
        <w:widowControl w:val="0"/>
        <w:kinsoku/>
        <w:wordWrap/>
        <w:overflowPunct/>
        <w:topLinePunct w:val="0"/>
        <w:bidi w:val="0"/>
        <w:spacing w:line="420" w:lineRule="exact"/>
        <w:ind w:firstLine="43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8.8 因乙方未能履行完税义务，出现欠税异常情况导致甲方〔受票方）被牵连的(发票异常、进项转出等）乙方应立即补充履行完税义务，并赔偿因此给甲方造成的一切损失，且乙方应支付给甲方“走逃发票”开票总额的10%作为违约金。</w:t>
      </w:r>
    </w:p>
    <w:p w14:paraId="0E9D6A47">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免责条款</w:t>
      </w:r>
    </w:p>
    <w:p w14:paraId="1904A00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 采取乙方将标的物送至甲方指定地点为交货方式的，在标的物运输、装卸过程及运输车辆在甲方指定地点内发生的任何乙方运输车辆、工作人员、第三方人身财产、安全事故等，甲方均不承担任何责任。如发生以上事故，由乙方负责处理善后等事宜，处理同时应及时通知甲方，并有义务将标的物及时交付，所发生的所有费用及损失均由乙方承担。由此造成延时交货的，甲方有权拒付该次货款。</w:t>
      </w:r>
    </w:p>
    <w:p w14:paraId="4129CA1E">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 采取甲方到乙方指定地点提取标的物的，乙方应保护甲方运输车辆、工作人员安全。</w:t>
      </w:r>
    </w:p>
    <w:p w14:paraId="5827AF66">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合同纠纷解决方式</w:t>
      </w:r>
    </w:p>
    <w:p w14:paraId="7FAB0E0E">
      <w:pPr>
        <w:keepNext w:val="0"/>
        <w:keepLines w:val="0"/>
        <w:pageBreakBefore w:val="0"/>
        <w:widowControl w:val="0"/>
        <w:kinsoku/>
        <w:wordWrap/>
        <w:overflowPunct/>
        <w:topLinePunct w:val="0"/>
        <w:bidi w:val="0"/>
        <w:spacing w:line="420" w:lineRule="exact"/>
        <w:ind w:firstLine="44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10.1甲乙双方同意，凡因本合同或与本合同有关的任何争议，均应提交北京仲裁委员会，按照申请仲裁时该会现行有效的仲裁规则进行仲裁，仲裁裁决是终局的，对双方均有约束力。</w:t>
      </w:r>
    </w:p>
    <w:p w14:paraId="764E600B">
      <w:pPr>
        <w:keepNext w:val="0"/>
        <w:keepLines w:val="0"/>
        <w:pageBreakBefore w:val="0"/>
        <w:widowControl w:val="0"/>
        <w:numPr>
          <w:ilvl w:val="0"/>
          <w:numId w:val="1"/>
        </w:numPr>
        <w:kinsoku/>
        <w:wordWrap/>
        <w:overflowPunct/>
        <w:topLinePunct w:val="0"/>
        <w:bidi w:val="0"/>
        <w:spacing w:line="420" w:lineRule="exact"/>
        <w:ind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其他约定</w:t>
      </w:r>
    </w:p>
    <w:p w14:paraId="6E15B4AD">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Cs/>
          <w:color w:val="FF0000"/>
          <w:sz w:val="24"/>
          <w:szCs w:val="24"/>
          <w:highlight w:val="none"/>
        </w:rPr>
      </w:pPr>
      <w:r>
        <w:rPr>
          <w:rFonts w:hint="eastAsia" w:ascii="宋体" w:hAnsi="宋体" w:eastAsia="宋体" w:cs="宋体"/>
          <w:color w:val="auto"/>
          <w:sz w:val="24"/>
          <w:szCs w:val="24"/>
          <w:highlight w:val="none"/>
        </w:rPr>
        <w:t xml:space="preserve">11.1 </w:t>
      </w:r>
      <w:r>
        <w:rPr>
          <w:rFonts w:hint="eastAsia" w:ascii="宋体" w:hAnsi="宋体" w:cs="宋体"/>
          <w:bCs/>
          <w:color w:val="FF0000"/>
          <w:sz w:val="24"/>
          <w:szCs w:val="24"/>
          <w:highlight w:val="none"/>
          <w:lang w:val="en-US" w:eastAsia="zh-CN"/>
        </w:rPr>
        <w:t>11</w:t>
      </w:r>
      <w:r>
        <w:rPr>
          <w:rFonts w:hint="eastAsia" w:ascii="宋体" w:hAnsi="宋体" w:eastAsia="宋体" w:cs="宋体"/>
          <w:bCs/>
          <w:color w:val="FF0000"/>
          <w:sz w:val="24"/>
          <w:szCs w:val="24"/>
          <w:highlight w:val="none"/>
        </w:rPr>
        <w:t>.1 本合同签订之前，乙方应缴纳履约保证金</w:t>
      </w:r>
      <w:permStart w:id="0" w:edGrp="everyone"/>
      <w:r>
        <w:rPr>
          <w:rFonts w:hint="eastAsia" w:ascii="宋体" w:hAnsi="宋体" w:eastAsia="宋体" w:cs="宋体"/>
          <w:bCs/>
          <w:color w:val="FF0000"/>
          <w:sz w:val="24"/>
          <w:szCs w:val="24"/>
          <w:highlight w:val="none"/>
          <w:u w:val="single"/>
        </w:rPr>
        <w:t xml:space="preserve">       </w:t>
      </w:r>
      <w:permEnd w:id="0"/>
      <w:r>
        <w:rPr>
          <w:rFonts w:hint="eastAsia" w:ascii="宋体" w:hAnsi="宋体" w:eastAsia="宋体" w:cs="宋体"/>
          <w:bCs/>
          <w:color w:val="FF0000"/>
          <w:sz w:val="24"/>
          <w:szCs w:val="24"/>
          <w:highlight w:val="none"/>
        </w:rPr>
        <w:t>元。</w:t>
      </w:r>
    </w:p>
    <w:p w14:paraId="1F30A5C6">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Cs/>
          <w:color w:val="FF0000"/>
          <w:sz w:val="24"/>
          <w:szCs w:val="24"/>
          <w:highlight w:val="none"/>
        </w:rPr>
      </w:pPr>
      <w:r>
        <w:rPr>
          <w:rFonts w:hint="eastAsia" w:ascii="宋体" w:hAnsi="宋体" w:cs="宋体"/>
          <w:bCs/>
          <w:color w:val="FF0000"/>
          <w:sz w:val="24"/>
          <w:szCs w:val="24"/>
          <w:highlight w:val="none"/>
          <w:lang w:val="en-US" w:eastAsia="zh-CN"/>
        </w:rPr>
        <w:t>11</w:t>
      </w:r>
      <w:r>
        <w:rPr>
          <w:rFonts w:hint="eastAsia" w:ascii="宋体" w:hAnsi="宋体" w:eastAsia="宋体" w:cs="宋体"/>
          <w:bCs/>
          <w:color w:val="FF0000"/>
          <w:sz w:val="24"/>
          <w:szCs w:val="24"/>
          <w:highlight w:val="none"/>
        </w:rPr>
        <w:t>.2 本合同中所涉违约金、赔偿金和罚款等从履约保证金中扣除；若履约保证金不足扣除的，甲方有权从应付</w:t>
      </w:r>
      <w:r>
        <w:rPr>
          <w:rFonts w:hint="eastAsia" w:ascii="宋体" w:hAnsi="宋体" w:cs="宋体"/>
          <w:bCs/>
          <w:color w:val="FF0000"/>
          <w:sz w:val="24"/>
          <w:szCs w:val="24"/>
          <w:highlight w:val="none"/>
          <w:lang w:val="en-US" w:eastAsia="zh-CN"/>
        </w:rPr>
        <w:t>货款</w:t>
      </w:r>
      <w:r>
        <w:rPr>
          <w:rFonts w:hint="eastAsia" w:ascii="宋体" w:hAnsi="宋体" w:eastAsia="宋体" w:cs="宋体"/>
          <w:bCs/>
          <w:color w:val="FF0000"/>
          <w:sz w:val="24"/>
          <w:szCs w:val="24"/>
          <w:highlight w:val="none"/>
        </w:rPr>
        <w:t>中扣除，仍不足的甲方有权继续追究乙方责任。</w:t>
      </w:r>
    </w:p>
    <w:p w14:paraId="1FC3CB5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Cs/>
          <w:color w:val="FF0000"/>
          <w:sz w:val="24"/>
          <w:szCs w:val="24"/>
          <w:highlight w:val="none"/>
          <w:lang w:val="en-US" w:eastAsia="zh-CN"/>
        </w:rPr>
      </w:pPr>
      <w:r>
        <w:rPr>
          <w:rFonts w:hint="eastAsia" w:ascii="宋体" w:hAnsi="宋体" w:cs="宋体"/>
          <w:bCs/>
          <w:color w:val="FF0000"/>
          <w:sz w:val="24"/>
          <w:szCs w:val="24"/>
          <w:highlight w:val="none"/>
          <w:lang w:val="en-US" w:eastAsia="zh-CN"/>
        </w:rPr>
        <w:t>11</w:t>
      </w:r>
      <w:r>
        <w:rPr>
          <w:rFonts w:hint="eastAsia" w:ascii="宋体" w:hAnsi="宋体" w:eastAsia="宋体" w:cs="宋体"/>
          <w:bCs/>
          <w:color w:val="FF0000"/>
          <w:sz w:val="24"/>
          <w:szCs w:val="24"/>
          <w:highlight w:val="none"/>
        </w:rPr>
        <w:t>.3 本合同履行过程中，履约保证金被部分或全部扣除的，如双方继续合作，乙方应</w:t>
      </w:r>
      <w:r>
        <w:rPr>
          <w:rFonts w:hint="eastAsia" w:ascii="宋体" w:hAnsi="宋体" w:eastAsia="宋体" w:cs="宋体"/>
          <w:bCs/>
          <w:color w:val="FF0000"/>
          <w:sz w:val="24"/>
          <w:szCs w:val="24"/>
          <w:highlight w:val="none"/>
          <w:lang w:val="en-US" w:eastAsia="zh-CN"/>
        </w:rPr>
        <w:t>在5个工作日内</w:t>
      </w:r>
      <w:r>
        <w:rPr>
          <w:rFonts w:hint="eastAsia" w:ascii="宋体" w:hAnsi="宋体" w:eastAsia="宋体" w:cs="宋体"/>
          <w:bCs/>
          <w:color w:val="FF0000"/>
          <w:sz w:val="24"/>
          <w:szCs w:val="24"/>
          <w:highlight w:val="none"/>
        </w:rPr>
        <w:t>补足履约保证金</w:t>
      </w:r>
      <w:r>
        <w:rPr>
          <w:rFonts w:hint="eastAsia" w:ascii="宋体" w:hAnsi="宋体" w:eastAsia="宋体" w:cs="宋体"/>
          <w:bCs/>
          <w:color w:val="FF0000"/>
          <w:sz w:val="24"/>
          <w:szCs w:val="24"/>
          <w:highlight w:val="none"/>
          <w:lang w:eastAsia="zh-CN"/>
        </w:rPr>
        <w:t>，</w:t>
      </w:r>
      <w:r>
        <w:rPr>
          <w:rFonts w:hint="eastAsia" w:ascii="宋体" w:hAnsi="宋体" w:eastAsia="宋体" w:cs="宋体"/>
          <w:bCs/>
          <w:color w:val="FF0000"/>
          <w:sz w:val="24"/>
          <w:szCs w:val="24"/>
          <w:highlight w:val="none"/>
          <w:lang w:val="en-US" w:eastAsia="zh-CN"/>
        </w:rPr>
        <w:t>如未能按期补足，甲方有权在应付货款中直接扣除相应款项。</w:t>
      </w:r>
    </w:p>
    <w:p w14:paraId="7E1D0038">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bCs/>
          <w:color w:val="FF0000"/>
          <w:sz w:val="24"/>
          <w:szCs w:val="24"/>
          <w:highlight w:val="none"/>
        </w:rPr>
      </w:pPr>
      <w:r>
        <w:rPr>
          <w:rFonts w:hint="eastAsia" w:ascii="宋体" w:hAnsi="宋体" w:cs="宋体"/>
          <w:bCs/>
          <w:color w:val="FF0000"/>
          <w:sz w:val="24"/>
          <w:szCs w:val="24"/>
          <w:highlight w:val="none"/>
          <w:lang w:val="en-US" w:eastAsia="zh-CN"/>
        </w:rPr>
        <w:t>11</w:t>
      </w:r>
      <w:r>
        <w:rPr>
          <w:rFonts w:hint="eastAsia" w:ascii="宋体" w:hAnsi="宋体" w:eastAsia="宋体" w:cs="宋体"/>
          <w:bCs/>
          <w:color w:val="FF0000"/>
          <w:sz w:val="24"/>
          <w:szCs w:val="24"/>
          <w:highlight w:val="none"/>
        </w:rPr>
        <w:t>.4 合同履行完毕，在乙方无违约的前提下，履约保证金无息退回给乙方。如继续合作，双方同意将履约保证金自动转至新合同项下。</w:t>
      </w:r>
    </w:p>
    <w:p w14:paraId="25262589">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bCs/>
          <w:color w:val="FF0000"/>
          <w:sz w:val="24"/>
          <w:szCs w:val="24"/>
          <w:highlight w:val="none"/>
          <w:lang w:val="en-US" w:eastAsia="zh-CN"/>
        </w:rPr>
        <w:t>11.5</w:t>
      </w:r>
      <w:r>
        <w:rPr>
          <w:rFonts w:hint="eastAsia" w:ascii="宋体" w:hAnsi="宋体" w:eastAsia="宋体" w:cs="宋体"/>
          <w:color w:val="auto"/>
          <w:sz w:val="24"/>
          <w:szCs w:val="24"/>
          <w:highlight w:val="none"/>
        </w:rPr>
        <w:t>本合同以加盖</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合同章</w:t>
      </w:r>
      <w:r>
        <w:rPr>
          <w:rFonts w:hint="eastAsia" w:ascii="宋体" w:hAnsi="宋体" w:eastAsia="宋体" w:cs="宋体"/>
          <w:color w:val="auto"/>
          <w:sz w:val="24"/>
          <w:szCs w:val="24"/>
          <w:highlight w:val="none"/>
          <w:lang w:eastAsia="zh-CN"/>
        </w:rPr>
        <w:t>或公章方</w:t>
      </w:r>
      <w:r>
        <w:rPr>
          <w:rFonts w:hint="eastAsia" w:ascii="宋体" w:hAnsi="宋体" w:eastAsia="宋体" w:cs="宋体"/>
          <w:color w:val="auto"/>
          <w:sz w:val="24"/>
          <w:szCs w:val="24"/>
          <w:highlight w:val="none"/>
        </w:rPr>
        <w:t>为有效。在合同履行过程中任何涉及供应期限延长、数量变动、价格</w:t>
      </w:r>
      <w:r>
        <w:rPr>
          <w:rFonts w:hint="eastAsia" w:ascii="宋体" w:hAnsi="宋体" w:eastAsia="宋体" w:cs="宋体"/>
          <w:color w:val="auto"/>
          <w:sz w:val="24"/>
          <w:szCs w:val="24"/>
          <w:highlight w:val="none"/>
          <w:lang w:val="en-US" w:eastAsia="zh-CN"/>
        </w:rPr>
        <w:t>和金额</w:t>
      </w:r>
      <w:r>
        <w:rPr>
          <w:rFonts w:hint="eastAsia" w:ascii="宋体" w:hAnsi="宋体" w:eastAsia="宋体" w:cs="宋体"/>
          <w:color w:val="auto"/>
          <w:sz w:val="24"/>
          <w:szCs w:val="24"/>
          <w:highlight w:val="none"/>
        </w:rPr>
        <w:t>调整、质量要求、付款期限及方式等</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必须加盖</w:t>
      </w:r>
      <w:r>
        <w:rPr>
          <w:rFonts w:hint="eastAsia" w:ascii="宋体" w:hAnsi="宋体" w:eastAsia="宋体" w:cs="宋体"/>
          <w:color w:val="auto"/>
          <w:sz w:val="24"/>
          <w:szCs w:val="24"/>
          <w:highlight w:val="none"/>
          <w:lang w:eastAsia="zh-CN"/>
        </w:rPr>
        <w:t>甲方合同专用章或公章方</w:t>
      </w:r>
      <w:r>
        <w:rPr>
          <w:rFonts w:hint="eastAsia" w:ascii="宋体" w:hAnsi="宋体" w:eastAsia="宋体" w:cs="宋体"/>
          <w:color w:val="auto"/>
          <w:sz w:val="24"/>
          <w:szCs w:val="24"/>
          <w:highlight w:val="none"/>
        </w:rPr>
        <w:t>为有效，</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印章</w:t>
      </w:r>
      <w:r>
        <w:rPr>
          <w:rFonts w:hint="eastAsia" w:ascii="宋体" w:hAnsi="宋体" w:eastAsia="宋体" w:cs="宋体"/>
          <w:color w:val="auto"/>
          <w:sz w:val="24"/>
          <w:szCs w:val="24"/>
          <w:highlight w:val="none"/>
          <w:lang w:val="en-US" w:eastAsia="zh-CN"/>
        </w:rPr>
        <w:t>或签字</w:t>
      </w:r>
      <w:r>
        <w:rPr>
          <w:rFonts w:hint="eastAsia" w:ascii="宋体" w:hAnsi="宋体" w:eastAsia="宋体" w:cs="宋体"/>
          <w:color w:val="auto"/>
          <w:sz w:val="24"/>
          <w:szCs w:val="24"/>
          <w:highlight w:val="none"/>
        </w:rPr>
        <w:t>均无效</w:t>
      </w:r>
      <w:r>
        <w:rPr>
          <w:rFonts w:hint="eastAsia" w:ascii="宋体" w:hAnsi="宋体" w:eastAsia="宋体" w:cs="宋体"/>
          <w:color w:val="auto"/>
          <w:sz w:val="24"/>
          <w:szCs w:val="24"/>
          <w:highlight w:val="none"/>
          <w:lang w:eastAsia="zh-CN"/>
        </w:rPr>
        <w:t>。</w:t>
      </w:r>
    </w:p>
    <w:p w14:paraId="23B2E93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lang w:val="en-US" w:eastAsia="zh-CN"/>
        </w:rPr>
        <w:t>11.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双方确认，如本合同通过中铁建设集团有限公司电子签约平台（https://dzqz.ztjs.cn:18081/contract/index.html#/login）签署，则电子章与实体章效力一致。乙方认可在前述平台使用电子印章签署合同为其真实意思表示，且确保在电子签约平台注册时，使用的企业信息和个人相关信息真实有效，并且自觉遵守国家法律法规和甲方在电子签约平台的合同签约流程。如因乙方使用不当给甲方造成损失，乙方愿自行承担由此造成的全部经济损失和法律责任。</w:t>
      </w:r>
    </w:p>
    <w:p w14:paraId="1C9E1925">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甲乙双方应在合同签订前相互提供营业执照、一般纳税人身份证明、授权委托书等证明文件。</w:t>
      </w:r>
      <w:r>
        <w:rPr>
          <w:rFonts w:hint="eastAsia" w:ascii="宋体" w:hAnsi="宋体" w:eastAsia="宋体" w:cs="宋体"/>
          <w:color w:val="auto"/>
          <w:sz w:val="24"/>
          <w:szCs w:val="24"/>
          <w:highlight w:val="none"/>
          <w:lang w:eastAsia="zh-CN"/>
        </w:rPr>
        <w:t>甲方已向</w:t>
      </w:r>
      <w:r>
        <w:rPr>
          <w:rFonts w:hint="eastAsia" w:ascii="宋体" w:hAnsi="宋体" w:eastAsia="宋体" w:cs="宋体"/>
          <w:color w:val="auto"/>
          <w:sz w:val="24"/>
          <w:szCs w:val="24"/>
          <w:highlight w:val="none"/>
          <w:lang w:val="en-US" w:eastAsia="zh-CN"/>
        </w:rPr>
        <w:t>乙方提供《合规行为准则》，乙方已明确知悉该准则内容。</w:t>
      </w:r>
    </w:p>
    <w:p w14:paraId="514304A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甲乙双方确认并声明：本合同以下预留的通讯地址为双方送达文件的有效地址，任一方按照该地址向对方送达的通知、纪要等文件均为有效送达。任</w:t>
      </w:r>
      <w:r>
        <w:rPr>
          <w:rFonts w:hint="eastAsia" w:ascii="宋体" w:hAnsi="宋体" w:eastAsia="宋体" w:cs="宋体"/>
          <w:color w:val="auto"/>
          <w:sz w:val="24"/>
          <w:szCs w:val="24"/>
          <w:highlight w:val="none"/>
        </w:rPr>
        <w:t>一方变更</w:t>
      </w:r>
      <w:r>
        <w:rPr>
          <w:rFonts w:hint="eastAsia" w:ascii="宋体" w:hAnsi="宋体" w:eastAsia="宋体" w:cs="宋体"/>
          <w:color w:val="auto"/>
          <w:sz w:val="24"/>
          <w:szCs w:val="24"/>
          <w:highlight w:val="none"/>
          <w:lang w:val="en-US" w:eastAsia="zh-CN"/>
        </w:rPr>
        <w:t>通讯地址</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在变更</w:t>
      </w:r>
      <w:r>
        <w:rPr>
          <w:rFonts w:hint="eastAsia" w:ascii="宋体" w:hAnsi="宋体" w:eastAsia="宋体" w:cs="宋体"/>
          <w:color w:val="auto"/>
          <w:sz w:val="24"/>
          <w:szCs w:val="24"/>
          <w:highlight w:val="none"/>
          <w:lang w:eastAsia="zh-CN"/>
        </w:rPr>
        <w:t>地址之日起</w:t>
      </w:r>
      <w:r>
        <w:rPr>
          <w:rFonts w:hint="eastAsia" w:ascii="宋体" w:hAnsi="宋体" w:eastAsia="宋体" w:cs="宋体"/>
          <w:color w:val="auto"/>
          <w:sz w:val="24"/>
          <w:szCs w:val="24"/>
          <w:highlight w:val="none"/>
        </w:rPr>
        <w:t>3日内书面通知</w:t>
      </w:r>
      <w:r>
        <w:rPr>
          <w:rFonts w:hint="eastAsia" w:ascii="宋体" w:hAnsi="宋体" w:eastAsia="宋体" w:cs="宋体"/>
          <w:color w:val="auto"/>
          <w:sz w:val="24"/>
          <w:szCs w:val="24"/>
          <w:highlight w:val="none"/>
          <w:lang w:val="en-US" w:eastAsia="zh-CN"/>
        </w:rPr>
        <w:t>对方，否则不发生送达地址变更的法律效力，对方按原地址或工商注册地址送达仍然为有效送达。</w:t>
      </w:r>
      <w:r>
        <w:rPr>
          <w:rFonts w:hint="eastAsia" w:ascii="宋体" w:hAnsi="宋体" w:eastAsia="宋体" w:cs="宋体"/>
          <w:color w:val="auto"/>
          <w:sz w:val="24"/>
          <w:szCs w:val="24"/>
          <w:highlight w:val="none"/>
        </w:rPr>
        <w:t>若按该地址送达的相关文件无人签收或被拒绝签收，则文件退回之日视为送达之日。</w:t>
      </w:r>
    </w:p>
    <w:p w14:paraId="67CB9A37">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甲方</w:t>
      </w:r>
      <w:r>
        <w:rPr>
          <w:rFonts w:hint="eastAsia" w:ascii="宋体" w:hAnsi="宋体" w:eastAsia="宋体" w:cs="宋体"/>
          <w:b/>
          <w:color w:val="auto"/>
          <w:sz w:val="24"/>
          <w:highlight w:val="none"/>
        </w:rPr>
        <w:t xml:space="preserve">通讯地址：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eastAsia="zh-CN"/>
        </w:rPr>
        <w:t>（必填</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lang w:eastAsia="zh-CN"/>
        </w:rPr>
        <w:t>）</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rPr>
        <w:t xml:space="preserve">  </w:t>
      </w:r>
    </w:p>
    <w:p w14:paraId="3EE3A2AE">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highlight w:val="none"/>
          <w:lang w:val="en-US" w:eastAsia="zh-CN"/>
        </w:rPr>
        <w:t>乙方</w:t>
      </w:r>
      <w:r>
        <w:rPr>
          <w:rFonts w:hint="eastAsia" w:ascii="宋体" w:hAnsi="宋体" w:eastAsia="宋体" w:cs="宋体"/>
          <w:b/>
          <w:color w:val="auto"/>
          <w:sz w:val="24"/>
          <w:highlight w:val="none"/>
        </w:rPr>
        <w:t xml:space="preserve">通讯地址：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eastAsia="zh-CN"/>
        </w:rPr>
        <w:t>（必填）</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rPr>
        <w:t xml:space="preserve">  </w:t>
      </w:r>
    </w:p>
    <w:p w14:paraId="0C88634B">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甲乙双方对合同条款的理解有争议的，应当按照合同所使用的词句、合同的有关条款、合同的目的、交易习惯以及诚实信用原则，确定该条款的真实意思。</w:t>
      </w:r>
    </w:p>
    <w:p w14:paraId="1DAEB76F">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如本合同所涉及的国家标准有更新，则以更新的国家标准为准。</w:t>
      </w:r>
    </w:p>
    <w:p w14:paraId="54982945">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本合同自甲乙双方盖章之日起生效，至</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hint="eastAsia" w:ascii="宋体" w:hAnsi="宋体" w:eastAsia="宋体" w:cs="宋体"/>
          <w:color w:val="auto"/>
          <w:sz w:val="24"/>
          <w:szCs w:val="24"/>
          <w:highlight w:val="none"/>
        </w:rPr>
        <w:t>止。</w:t>
      </w:r>
    </w:p>
    <w:p w14:paraId="2857B39A">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份，双方各执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p>
    <w:p w14:paraId="5FF48F66">
      <w:pPr>
        <w:keepNext w:val="0"/>
        <w:keepLines w:val="0"/>
        <w:pageBreakBefore w:val="0"/>
        <w:widowControl w:val="0"/>
        <w:kinsoku/>
        <w:wordWrap/>
        <w:overflowPunct/>
        <w:topLinePunct w:val="0"/>
        <w:bidi w:val="0"/>
        <w:spacing w:line="420" w:lineRule="exact"/>
        <w:ind w:firstLine="440" w:firstLineChars="200"/>
        <w:textAlignment w:val="auto"/>
        <w:rPr>
          <w:rFonts w:ascii="宋体" w:hAnsi="宋体" w:eastAsia="宋体" w:cs="宋体"/>
          <w:sz w:val="24"/>
          <w:szCs w:val="24"/>
        </w:rPr>
      </w:pPr>
      <w:bookmarkStart w:id="0" w:name="OLE_LINK1"/>
      <w:r>
        <w:rPr>
          <w:rFonts w:hint="eastAsia" w:ascii="宋体" w:hAnsi="宋体" w:eastAsia="宋体" w:cs="宋体"/>
          <w:color w:val="auto"/>
          <w:sz w:val="24"/>
          <w:szCs w:val="24"/>
          <w:highlight w:val="none"/>
          <w:lang w:val="en-US" w:eastAsia="zh-CN"/>
        </w:rPr>
        <w:t>11.9</w:t>
      </w:r>
      <w:r>
        <w:rPr>
          <w:rFonts w:hint="eastAsia" w:ascii="宋体" w:hAnsi="宋体" w:cs="宋体"/>
          <w:color w:val="auto"/>
          <w:sz w:val="24"/>
          <w:szCs w:val="24"/>
          <w:highlight w:val="none"/>
          <w:lang w:val="en-US" w:eastAsia="zh-CN"/>
        </w:rPr>
        <w:t xml:space="preserve"> </w:t>
      </w:r>
      <w:r>
        <w:rPr>
          <w:rFonts w:ascii="宋体" w:hAnsi="宋体" w:eastAsia="宋体" w:cs="宋体"/>
          <w:sz w:val="24"/>
          <w:szCs w:val="24"/>
        </w:rPr>
        <w:t>甲方合同款项拖欠投诉联系方式：总部采购管理部田煦：15001300843；</w:t>
      </w:r>
      <w:r>
        <w:rPr>
          <w:rFonts w:ascii="宋体" w:hAnsi="宋体" w:eastAsia="宋体" w:cs="宋体"/>
          <w:sz w:val="24"/>
          <w:szCs w:val="24"/>
        </w:rPr>
        <w:br w:type="textWrapping"/>
      </w:r>
      <w:r>
        <w:rPr>
          <w:rFonts w:ascii="宋体" w:hAnsi="宋体" w:eastAsia="宋体" w:cs="宋体"/>
          <w:sz w:val="24"/>
          <w:szCs w:val="24"/>
        </w:rPr>
        <w:t>总部财务部</w:t>
      </w:r>
      <w:r>
        <w:rPr>
          <w:rFonts w:hint="eastAsia" w:ascii="宋体" w:hAnsi="宋体" w:eastAsia="宋体" w:cs="宋体"/>
          <w:sz w:val="24"/>
          <w:szCs w:val="24"/>
        </w:rPr>
        <w:t>陈禹杭13986281608</w:t>
      </w:r>
      <w:r>
        <w:rPr>
          <w:rFonts w:ascii="宋体" w:hAnsi="宋体" w:eastAsia="宋体" w:cs="宋体"/>
          <w:sz w:val="24"/>
          <w:szCs w:val="24"/>
        </w:rPr>
        <w:t>。</w:t>
      </w:r>
    </w:p>
    <w:bookmarkEnd w:id="0"/>
    <w:p w14:paraId="02217A2E">
      <w:pPr>
        <w:keepNext w:val="0"/>
        <w:keepLines w:val="0"/>
        <w:pageBreakBefore w:val="0"/>
        <w:widowControl w:val="0"/>
        <w:kinsoku/>
        <w:wordWrap/>
        <w:overflowPunct/>
        <w:topLinePunct w:val="0"/>
        <w:bidi w:val="0"/>
        <w:spacing w:line="420" w:lineRule="exact"/>
        <w:ind w:firstLine="440" w:firstLineChars="200"/>
        <w:textAlignment w:val="auto"/>
        <w:rPr>
          <w:rFonts w:hint="default" w:ascii="宋体" w:hAnsi="宋体" w:eastAsia="宋体" w:cs="宋体"/>
          <w:sz w:val="24"/>
          <w:szCs w:val="24"/>
          <w:highlight w:val="none"/>
          <w:lang w:val="en-US" w:eastAsia="zh-CN"/>
        </w:rPr>
      </w:pPr>
      <w:r>
        <w:rPr>
          <w:rFonts w:ascii="宋体" w:hAnsi="宋体" w:eastAsia="宋体" w:cs="宋体"/>
          <w:kern w:val="0"/>
          <w:sz w:val="24"/>
          <w:szCs w:val="24"/>
          <w:highlight w:val="none"/>
          <w:lang w:val="en-US" w:eastAsia="zh-CN" w:bidi="ar"/>
        </w:rPr>
        <w:drawing>
          <wp:anchor distT="0" distB="0" distL="114300" distR="114300" simplePos="0" relativeHeight="251662336" behindDoc="0" locked="0" layoutInCell="1" allowOverlap="1">
            <wp:simplePos x="0" y="0"/>
            <wp:positionH relativeFrom="column">
              <wp:posOffset>2220595</wp:posOffset>
            </wp:positionH>
            <wp:positionV relativeFrom="paragraph">
              <wp:posOffset>1189990</wp:posOffset>
            </wp:positionV>
            <wp:extent cx="990600" cy="962025"/>
            <wp:effectExtent l="0" t="0" r="0" b="9525"/>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tretch>
                      <a:fillRect/>
                    </a:stretch>
                  </pic:blipFill>
                  <pic:spPr>
                    <a:xfrm>
                      <a:off x="0" y="0"/>
                      <a:ext cx="990600" cy="962025"/>
                    </a:xfrm>
                    <a:prstGeom prst="rect">
                      <a:avLst/>
                    </a:prstGeom>
                  </pic:spPr>
                </pic:pic>
              </a:graphicData>
            </a:graphic>
          </wp:anchor>
        </w:drawing>
      </w:r>
      <w:r>
        <w:rPr>
          <w:rFonts w:hint="eastAsia" w:ascii="宋体" w:hAnsi="宋体" w:cs="宋体"/>
          <w:sz w:val="24"/>
          <w:szCs w:val="24"/>
          <w:highlight w:val="none"/>
          <w:lang w:val="en-US" w:eastAsia="zh-CN"/>
        </w:rPr>
        <w:t xml:space="preserve">11.10 </w:t>
      </w:r>
      <w:r>
        <w:rPr>
          <w:rFonts w:hint="eastAsia" w:ascii="宋体" w:hAnsi="宋体" w:cs="宋体"/>
          <w:b/>
          <w:bCs/>
          <w:color w:val="auto"/>
          <w:sz w:val="24"/>
          <w:szCs w:val="24"/>
          <w:highlight w:val="none"/>
          <w:lang w:val="en-US" w:eastAsia="zh-CN"/>
        </w:rPr>
        <w:t>特别提示：乙方</w:t>
      </w:r>
      <w:r>
        <w:rPr>
          <w:rFonts w:hint="eastAsia" w:ascii="宋体" w:hAnsi="宋体" w:eastAsia="宋体" w:cs="宋体"/>
          <w:b/>
          <w:bCs/>
          <w:color w:val="auto"/>
          <w:sz w:val="24"/>
          <w:szCs w:val="24"/>
          <w:highlight w:val="none"/>
        </w:rPr>
        <w:t>需</w:t>
      </w:r>
      <w:r>
        <w:rPr>
          <w:rFonts w:hint="eastAsia" w:ascii="宋体" w:hAnsi="宋体" w:cs="宋体"/>
          <w:b/>
          <w:bCs/>
          <w:color w:val="auto"/>
          <w:sz w:val="24"/>
          <w:szCs w:val="24"/>
          <w:highlight w:val="none"/>
          <w:lang w:val="en-US" w:eastAsia="zh-CN"/>
        </w:rPr>
        <w:t>在甲方中铁供应链协同平台</w:t>
      </w:r>
      <w:r>
        <w:rPr>
          <w:rFonts w:hint="eastAsia" w:ascii="宋体" w:hAnsi="宋体" w:cs="宋体"/>
          <w:b/>
          <w:bCs/>
          <w:color w:val="auto"/>
          <w:sz w:val="24"/>
          <w:szCs w:val="24"/>
          <w:highlight w:val="none"/>
          <w:lang w:val="en-US" w:eastAsia="zh-CN"/>
        </w:rPr>
        <w:fldChar w:fldCharType="begin"/>
      </w:r>
      <w:r>
        <w:rPr>
          <w:rFonts w:hint="eastAsia" w:ascii="宋体" w:hAnsi="宋体" w:cs="宋体"/>
          <w:b/>
          <w:bCs/>
          <w:color w:val="auto"/>
          <w:sz w:val="24"/>
          <w:szCs w:val="24"/>
          <w:highlight w:val="none"/>
          <w:lang w:val="en-US" w:eastAsia="zh-CN"/>
        </w:rPr>
        <w:instrText xml:space="preserve"> HYPERLINK "https://www.ztjgyl.com/" </w:instrText>
      </w:r>
      <w:r>
        <w:rPr>
          <w:rFonts w:hint="eastAsia" w:ascii="宋体" w:hAnsi="宋体" w:cs="宋体"/>
          <w:b/>
          <w:bCs/>
          <w:color w:val="auto"/>
          <w:sz w:val="24"/>
          <w:szCs w:val="24"/>
          <w:highlight w:val="none"/>
          <w:lang w:val="en-US" w:eastAsia="zh-CN"/>
        </w:rPr>
        <w:fldChar w:fldCharType="separate"/>
      </w:r>
      <w:r>
        <w:rPr>
          <w:rStyle w:val="8"/>
          <w:rFonts w:hint="eastAsia" w:ascii="宋体" w:hAnsi="宋体" w:cs="宋体"/>
          <w:b/>
          <w:bCs/>
          <w:sz w:val="24"/>
          <w:szCs w:val="24"/>
          <w:highlight w:val="none"/>
          <w:lang w:val="en-US" w:eastAsia="zh-CN"/>
        </w:rPr>
        <w:t>https://www.ztjgyl.com/</w:t>
      </w:r>
      <w:r>
        <w:rPr>
          <w:rFonts w:hint="eastAsia" w:ascii="宋体" w:hAnsi="宋体" w:cs="宋体"/>
          <w:b/>
          <w:bCs/>
          <w:color w:val="auto"/>
          <w:sz w:val="24"/>
          <w:szCs w:val="24"/>
          <w:highlight w:val="none"/>
          <w:lang w:val="en-US" w:eastAsia="zh-CN"/>
        </w:rPr>
        <w:fldChar w:fldCharType="end"/>
      </w:r>
      <w:r>
        <w:rPr>
          <w:rFonts w:hint="eastAsia" w:ascii="宋体" w:hAnsi="宋体" w:cs="宋体"/>
          <w:b/>
          <w:bCs/>
          <w:color w:val="auto"/>
          <w:sz w:val="24"/>
          <w:szCs w:val="24"/>
          <w:highlight w:val="none"/>
          <w:lang w:val="en-US" w:eastAsia="zh-CN"/>
        </w:rPr>
        <w:t xml:space="preserve"> 注册账号，关注平台微信公众号（如下图），进行账号绑定、平台消息订阅，并妥善保存账号密码。如乙方未按要求完成前述操作造成的无法报价、无法接收询比价信息、账号密码泄露等不利后果，由乙方自行承担。 </w:t>
      </w:r>
    </w:p>
    <w:p w14:paraId="1C4215CC">
      <w:pPr>
        <w:keepNext w:val="0"/>
        <w:keepLines w:val="0"/>
        <w:pageBreakBefore w:val="0"/>
        <w:widowControl w:val="0"/>
        <w:kinsoku/>
        <w:wordWrap/>
        <w:overflowPunct/>
        <w:topLinePunct w:val="0"/>
        <w:bidi w:val="0"/>
        <w:spacing w:line="420" w:lineRule="exact"/>
        <w:ind w:firstLine="44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11.11 </w:t>
      </w:r>
      <w:r>
        <w:rPr>
          <w:rFonts w:hint="eastAsia" w:ascii="宋体" w:hAnsi="宋体" w:eastAsia="宋体" w:cs="宋体"/>
          <w:color w:val="auto"/>
          <w:sz w:val="24"/>
          <w:szCs w:val="24"/>
          <w:highlight w:val="none"/>
          <w:lang w:val="en-US" w:eastAsia="zh-CN"/>
        </w:rPr>
        <w:t>补充条款：（正文与补充条款不一致的，以补充条款约定为准。）</w:t>
      </w:r>
    </w:p>
    <w:p w14:paraId="7BC47E8F">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color w:val="auto"/>
          <w:highlight w:val="none"/>
          <w:u w:val="single"/>
        </w:rPr>
      </w:pPr>
      <w:r>
        <w:rPr>
          <w:rFonts w:hint="eastAsia" w:ascii="宋体" w:hAnsi="宋体" w:eastAsia="宋体" w:cs="宋体"/>
          <w:b/>
          <w:bCs/>
          <w:color w:val="auto"/>
          <w:sz w:val="24"/>
          <w:szCs w:val="24"/>
          <w:highlight w:val="none"/>
          <w:u w:val="single"/>
          <w:lang w:val="en-US" w:eastAsia="zh-CN"/>
        </w:rPr>
        <w:t xml:space="preserve"> （如不涉及，则填写“无。”）</w:t>
      </w:r>
      <w:r>
        <w:rPr>
          <w:rFonts w:hint="eastAsia" w:ascii="宋体" w:hAnsi="宋体" w:eastAsia="宋体" w:cs="宋体"/>
          <w:color w:val="auto"/>
          <w:sz w:val="24"/>
          <w:szCs w:val="24"/>
          <w:highlight w:val="none"/>
          <w:u w:val="single"/>
          <w:lang w:val="en-US" w:eastAsia="zh-CN"/>
        </w:rPr>
        <w:t xml:space="preserve">  </w:t>
      </w:r>
    </w:p>
    <w:p w14:paraId="28CE9712">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 </w:t>
      </w:r>
    </w:p>
    <w:p w14:paraId="582C3C5A">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甲方名称（章）：北京中铁建工物资有限公司   </w:t>
      </w:r>
    </w:p>
    <w:p w14:paraId="18A48CDD">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注册地址：北京市石景山区苹果园路28号院2号楼17层1701至1707室</w:t>
      </w:r>
    </w:p>
    <w:p w14:paraId="6261C8F2">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法定代表人（授权委托人）：                             </w:t>
      </w:r>
    </w:p>
    <w:p w14:paraId="1DD91D6D">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527AE2C1">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乙方名称（章）：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lang w:eastAsia="zh-CN"/>
        </w:rPr>
        <w:t>（必填）</w:t>
      </w:r>
      <w:r>
        <w:rPr>
          <w:rFonts w:hint="eastAsia" w:ascii="宋体" w:hAnsi="宋体" w:eastAsia="宋体" w:cs="宋体"/>
          <w:b/>
          <w:color w:val="auto"/>
          <w:sz w:val="24"/>
          <w:highlight w:val="none"/>
          <w:u w:val="single"/>
          <w:lang w:val="en-US" w:eastAsia="zh-CN"/>
        </w:rPr>
        <w:t xml:space="preserve">                        </w:t>
      </w:r>
    </w:p>
    <w:p w14:paraId="128126D1">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注册地址：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eastAsia="zh-CN"/>
        </w:rPr>
        <w:t>（必填）</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rPr>
        <w:t xml:space="preserve"> </w:t>
      </w:r>
    </w:p>
    <w:p w14:paraId="6D1DB546">
      <w:pPr>
        <w:keepNext w:val="0"/>
        <w:keepLines w:val="0"/>
        <w:pageBreakBefore w:val="0"/>
        <w:widowControl w:val="0"/>
        <w:kinsoku/>
        <w:wordWrap/>
        <w:overflowPunct/>
        <w:topLinePunct w:val="0"/>
        <w:bidi w:val="0"/>
        <w:spacing w:line="4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highlight w:val="none"/>
        </w:rPr>
        <w:t xml:space="preserve">法定代表人（授权委托人）：    </w:t>
      </w:r>
    </w:p>
    <w:p w14:paraId="75DD11FC">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szCs w:val="24"/>
          <w:highlight w:val="none"/>
        </w:rPr>
      </w:pPr>
    </w:p>
    <w:p w14:paraId="7663AB02">
      <w:pPr>
        <w:keepNext w:val="0"/>
        <w:keepLines w:val="0"/>
        <w:pageBreakBefore w:val="0"/>
        <w:widowControl w:val="0"/>
        <w:kinsoku/>
        <w:wordWrap/>
        <w:overflowPunct/>
        <w:topLinePunct w:val="0"/>
        <w:bidi w:val="0"/>
        <w:spacing w:line="420" w:lineRule="exact"/>
        <w:textAlignment w:val="auto"/>
        <w:rPr>
          <w:rFonts w:hint="eastAsia" w:ascii="宋体" w:hAnsi="宋体" w:eastAsia="宋体" w:cs="宋体"/>
          <w:b/>
          <w:color w:val="auto"/>
          <w:sz w:val="24"/>
          <w:szCs w:val="24"/>
          <w:highlight w:val="none"/>
        </w:rPr>
      </w:pPr>
    </w:p>
    <w:p w14:paraId="4D9EE9DA">
      <w:pPr>
        <w:keepNext w:val="0"/>
        <w:keepLines w:val="0"/>
        <w:pageBreakBefore w:val="0"/>
        <w:widowControl w:val="0"/>
        <w:kinsoku/>
        <w:wordWrap/>
        <w:overflowPunct/>
        <w:topLinePunct w:val="0"/>
        <w:bidi w:val="0"/>
        <w:spacing w:line="420" w:lineRule="exact"/>
        <w:jc w:val="left"/>
        <w:textAlignment w:val="auto"/>
        <w:rPr>
          <w:rFonts w:hint="eastAsia" w:ascii="宋体" w:hAnsi="宋体" w:eastAsia="宋体" w:cs="宋体"/>
          <w:b/>
          <w:color w:val="auto"/>
          <w:sz w:val="24"/>
          <w:szCs w:val="24"/>
          <w:highlight w:val="none"/>
        </w:rPr>
      </w:pPr>
    </w:p>
    <w:p w14:paraId="7E602CDF">
      <w:pPr>
        <w:keepNext w:val="0"/>
        <w:keepLines w:val="0"/>
        <w:pageBreakBefore w:val="0"/>
        <w:widowControl w:val="0"/>
        <w:kinsoku/>
        <w:wordWrap/>
        <w:overflowPunct/>
        <w:topLinePunct w:val="0"/>
        <w:bidi w:val="0"/>
        <w:spacing w:line="420" w:lineRule="exact"/>
        <w:ind w:firstLine="3520" w:firstLineChars="16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签订日期：_____ 年____ 月____</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日</w:t>
      </w:r>
    </w:p>
    <w:p w14:paraId="3E432143">
      <w:pPr>
        <w:keepNext w:val="0"/>
        <w:keepLines w:val="0"/>
        <w:pageBreakBefore w:val="0"/>
        <w:widowControl w:val="0"/>
        <w:kinsoku/>
        <w:wordWrap/>
        <w:overflowPunct/>
        <w:topLinePunct w:val="0"/>
        <w:bidi w:val="0"/>
        <w:snapToGrid w:val="0"/>
        <w:spacing w:line="420" w:lineRule="exact"/>
        <w:ind w:firstLine="3524" w:firstLineChars="1602"/>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签订地点：北京市石景山区苹果园路28号</w:t>
      </w:r>
    </w:p>
    <w:p w14:paraId="1B3728DD">
      <w:pPr>
        <w:rPr>
          <w:rFonts w:hint="eastAsia" w:ascii="宋体" w:hAnsi="宋体" w:eastAsia="宋体" w:cs="宋体"/>
          <w:b/>
          <w:color w:val="auto"/>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134" w:right="1361" w:bottom="1134" w:left="1531" w:header="0" w:footer="851" w:gutter="0"/>
          <w:cols w:space="720" w:num="1"/>
          <w:docGrid w:type="linesAndChars" w:linePitch="287" w:charSpace="-4300"/>
        </w:sectPr>
      </w:pPr>
    </w:p>
    <w:p w14:paraId="3B821DE6">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附件一：</w:t>
      </w:r>
    </w:p>
    <w:p w14:paraId="4E712C9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1644015</wp:posOffset>
                </wp:positionH>
                <wp:positionV relativeFrom="paragraph">
                  <wp:posOffset>1998345</wp:posOffset>
                </wp:positionV>
                <wp:extent cx="1613535" cy="8343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613535" cy="834390"/>
                        </a:xfrm>
                        <a:prstGeom prst="rect">
                          <a:avLst/>
                        </a:prstGeom>
                        <a:noFill/>
                        <a:ln w="15875">
                          <a:noFill/>
                        </a:ln>
                      </wps:spPr>
                      <wps:txbx>
                        <w:txbxContent>
                          <w:p w14:paraId="0CCCE8C7">
                            <w:pPr>
                              <w:ind w:left="1284" w:leftChars="267" w:hanging="723" w:hangingChars="100"/>
                              <w:rPr>
                                <w:rFonts w:hint="eastAsia" w:eastAsia="宋体"/>
                                <w:b/>
                                <w:bCs/>
                                <w:color w:val="FF0000"/>
                                <w:sz w:val="72"/>
                                <w:szCs w:val="72"/>
                                <w:lang w:val="en-US" w:eastAsia="zh-CN"/>
                              </w:rPr>
                            </w:pPr>
                            <w:r>
                              <w:rPr>
                                <w:rFonts w:hint="eastAsia"/>
                                <w:b/>
                                <w:bCs/>
                                <w:color w:val="FF0000"/>
                                <w:sz w:val="72"/>
                                <w:szCs w:val="72"/>
                                <w:lang w:val="en-US" w:eastAsia="zh-CN"/>
                              </w:rPr>
                              <w:t>样本</w:t>
                            </w:r>
                          </w:p>
                        </w:txbxContent>
                      </wps:txbx>
                      <wps:bodyPr upright="1"/>
                    </wps:wsp>
                  </a:graphicData>
                </a:graphic>
              </wp:anchor>
            </w:drawing>
          </mc:Choice>
          <mc:Fallback>
            <w:pict>
              <v:shape id="_x0000_s1026" o:spid="_x0000_s1026" o:spt="202" type="#_x0000_t202" style="position:absolute;left:0pt;margin-left:129.45pt;margin-top:157.35pt;height:65.7pt;width:127.05pt;z-index:251659264;mso-width-relative:page;mso-height-relative:page;" filled="f" stroked="f" coordsize="21600,21600" o:gfxdata="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nTXt0AAAALAQAADwAAAAAAAAABACAAAAAiAAAAZHJzL2Rvd25yZXYueG1sUEsB&#10;AhQAFAAAAAgAh07iQFVJovK3AQAAWAMAAA4AAAAAAAAAAQAgAAAALAEAAGRycy9lMm9Eb2MueG1s&#10;UEsFBgAAAAAGAAYAWQEAAFUFAAAAAA==&#10;">
                <v:fill on="f" focussize="0,0"/>
                <v:stroke on="f" weight="1.25pt"/>
                <v:imagedata o:title=""/>
                <o:lock v:ext="edit" aspectratio="f"/>
                <v:textbox>
                  <w:txbxContent>
                    <w:p w14:paraId="0CCCE8C7">
                      <w:pPr>
                        <w:ind w:left="1284" w:leftChars="267" w:hanging="723" w:hangingChars="100"/>
                        <w:rPr>
                          <w:rFonts w:hint="eastAsia" w:eastAsia="宋体"/>
                          <w:b/>
                          <w:bCs/>
                          <w:color w:val="FF0000"/>
                          <w:sz w:val="72"/>
                          <w:szCs w:val="72"/>
                          <w:lang w:val="en-US" w:eastAsia="zh-CN"/>
                        </w:rPr>
                      </w:pPr>
                      <w:r>
                        <w:rPr>
                          <w:rFonts w:hint="eastAsia"/>
                          <w:b/>
                          <w:bCs/>
                          <w:color w:val="FF0000"/>
                          <w:sz w:val="72"/>
                          <w:szCs w:val="72"/>
                          <w:lang w:val="en-US" w:eastAsia="zh-CN"/>
                        </w:rPr>
                        <w:t>样本</w:t>
                      </w:r>
                    </w:p>
                  </w:txbxContent>
                </v:textbox>
              </v:shape>
            </w:pict>
          </mc:Fallback>
        </mc:AlternateContent>
      </w:r>
      <w:r>
        <w:rPr>
          <w:rFonts w:hint="eastAsia" w:ascii="宋体" w:hAnsi="宋体" w:eastAsia="宋体" w:cs="宋体"/>
          <w:color w:val="auto"/>
          <w:sz w:val="24"/>
          <w:szCs w:val="24"/>
          <w:highlight w:val="none"/>
          <w:lang w:eastAsia="zh-CN"/>
        </w:rPr>
        <w:drawing>
          <wp:inline distT="0" distB="0" distL="114300" distR="114300">
            <wp:extent cx="5723890" cy="8094345"/>
            <wp:effectExtent l="0" t="0" r="10160" b="1905"/>
            <wp:docPr id="5" name="图片 5" descr="采购订单模板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采购订单模板123"/>
                    <pic:cNvPicPr>
                      <a:picLocks noChangeAspect="1"/>
                    </pic:cNvPicPr>
                  </pic:nvPicPr>
                  <pic:blipFill>
                    <a:blip r:embed="rId13"/>
                    <a:stretch>
                      <a:fillRect/>
                    </a:stretch>
                  </pic:blipFill>
                  <pic:spPr>
                    <a:xfrm>
                      <a:off x="0" y="0"/>
                      <a:ext cx="5723890" cy="8094345"/>
                    </a:xfrm>
                    <a:prstGeom prst="rect">
                      <a:avLst/>
                    </a:prstGeom>
                  </pic:spPr>
                </pic:pic>
              </a:graphicData>
            </a:graphic>
          </wp:inline>
        </w:drawing>
      </w:r>
    </w:p>
    <w:p w14:paraId="212ECB3D">
      <w:pPr>
        <w:rPr>
          <w:rFonts w:hint="eastAsia" w:ascii="宋体" w:hAnsi="宋体" w:eastAsia="宋体" w:cs="宋体"/>
          <w:color w:val="auto"/>
          <w:highlight w:val="none"/>
        </w:rPr>
      </w:pPr>
    </w:p>
    <w:p w14:paraId="3C748420">
      <w:pPr>
        <w:keepNext w:val="0"/>
        <w:keepLines w:val="0"/>
        <w:widowControl/>
        <w:suppressLineNumbers w:val="0"/>
        <w:jc w:val="left"/>
        <w:rPr>
          <w:rFonts w:hint="eastAsia" w:ascii="宋体" w:hAnsi="宋体" w:eastAsia="宋体" w:cs="宋体"/>
          <w:color w:val="auto"/>
          <w:highlight w:val="none"/>
        </w:rPr>
      </w:pPr>
    </w:p>
    <w:p w14:paraId="2FD72483">
      <w:pPr>
        <w:rPr>
          <w:rFonts w:hint="eastAsia" w:ascii="宋体" w:hAnsi="宋体" w:eastAsia="宋体" w:cs="宋体"/>
          <w:color w:val="auto"/>
          <w:highlight w:val="none"/>
        </w:rPr>
      </w:pPr>
    </w:p>
    <w:p w14:paraId="0C976627">
      <w:pPr>
        <w:tabs>
          <w:tab w:val="left" w:pos="0"/>
        </w:tabs>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附件二：</w:t>
      </w:r>
    </w:p>
    <w:p w14:paraId="4756E701">
      <w:pPr>
        <w:numPr>
          <w:ilvl w:val="0"/>
          <w:numId w:val="0"/>
        </w:numPr>
        <w:spacing w:line="240" w:lineRule="auto"/>
        <w:ind w:leftChars="0"/>
        <w:jc w:val="center"/>
        <w:rPr>
          <w:rFonts w:hint="eastAsia" w:ascii="宋体" w:hAnsi="宋体" w:eastAsia="宋体" w:cs="宋体"/>
          <w:b w:val="0"/>
          <w:bCs w:val="0"/>
          <w:color w:val="auto"/>
          <w:sz w:val="32"/>
          <w:szCs w:val="32"/>
          <w:highlight w:val="none"/>
          <w:shd w:val="clear" w:color="auto" w:fill="auto"/>
          <w:lang w:val="en-US" w:eastAsia="zh-CN"/>
        </w:rPr>
      </w:pPr>
      <w:r>
        <w:rPr>
          <w:rFonts w:hint="eastAsia" w:ascii="宋体" w:hAnsi="宋体" w:eastAsia="宋体" w:cs="宋体"/>
          <w:b w:val="0"/>
          <w:bCs w:val="0"/>
          <w:color w:val="auto"/>
          <w:sz w:val="32"/>
          <w:szCs w:val="32"/>
          <w:highlight w:val="none"/>
          <w:shd w:val="clear" w:color="auto" w:fill="auto"/>
          <w:lang w:val="en-US" w:eastAsia="zh-CN"/>
        </w:rPr>
        <w:t>北京中铁建工物资有限公司</w:t>
      </w:r>
    </w:p>
    <w:p w14:paraId="2477EE9B">
      <w:pPr>
        <w:numPr>
          <w:ilvl w:val="0"/>
          <w:numId w:val="0"/>
        </w:numPr>
        <w:spacing w:line="240" w:lineRule="auto"/>
        <w:ind w:leftChars="0"/>
        <w:jc w:val="center"/>
        <w:rPr>
          <w:rFonts w:hint="eastAsia" w:ascii="宋体" w:hAnsi="宋体" w:eastAsia="宋体" w:cs="宋体"/>
          <w:b w:val="0"/>
          <w:bCs w:val="0"/>
          <w:color w:val="auto"/>
          <w:sz w:val="32"/>
          <w:szCs w:val="32"/>
          <w:highlight w:val="none"/>
          <w:shd w:val="clear" w:color="auto" w:fill="auto"/>
          <w:lang w:val="en-US" w:eastAsia="zh-CN"/>
        </w:rPr>
      </w:pPr>
      <w:r>
        <w:rPr>
          <w:rFonts w:hint="eastAsia" w:ascii="宋体" w:hAnsi="宋体" w:eastAsia="宋体" w:cs="宋体"/>
          <w:b w:val="0"/>
          <w:bCs w:val="0"/>
          <w:color w:val="auto"/>
          <w:sz w:val="32"/>
          <w:szCs w:val="32"/>
          <w:highlight w:val="none"/>
          <w:shd w:val="clear" w:color="auto" w:fill="auto"/>
          <w:lang w:val="en-US" w:eastAsia="zh-CN"/>
        </w:rPr>
        <w:t>结算明细确认表</w:t>
      </w:r>
    </w:p>
    <w:p w14:paraId="5308C8AD">
      <w:pPr>
        <w:widowControl/>
        <w:numPr>
          <w:ilvl w:val="0"/>
          <w:numId w:val="0"/>
        </w:numPr>
        <w:wordWrap w:val="0"/>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结算</w:t>
      </w:r>
      <w:r>
        <w:rPr>
          <w:rFonts w:hint="eastAsia" w:ascii="宋体" w:hAnsi="宋体" w:eastAsia="宋体" w:cs="宋体"/>
          <w:color w:val="auto"/>
          <w:sz w:val="24"/>
          <w:szCs w:val="24"/>
          <w:highlight w:val="none"/>
        </w:rPr>
        <w:t>周期：    年   月   日-     年   月   日</w:t>
      </w:r>
    </w:p>
    <w:tbl>
      <w:tblPr>
        <w:tblStyle w:val="5"/>
        <w:tblW w:w="0" w:type="auto"/>
        <w:tblInd w:w="93" w:type="dxa"/>
        <w:tblLayout w:type="fixed"/>
        <w:tblCellMar>
          <w:top w:w="0" w:type="dxa"/>
          <w:left w:w="108" w:type="dxa"/>
          <w:bottom w:w="0" w:type="dxa"/>
          <w:right w:w="108" w:type="dxa"/>
        </w:tblCellMar>
      </w:tblPr>
      <w:tblGrid>
        <w:gridCol w:w="1291"/>
        <w:gridCol w:w="851"/>
        <w:gridCol w:w="180"/>
        <w:gridCol w:w="670"/>
        <w:gridCol w:w="851"/>
        <w:gridCol w:w="541"/>
        <w:gridCol w:w="1330"/>
        <w:gridCol w:w="440"/>
        <w:gridCol w:w="689"/>
        <w:gridCol w:w="1139"/>
        <w:gridCol w:w="1099"/>
      </w:tblGrid>
      <w:tr w14:paraId="5B8FB9DF">
        <w:tblPrEx>
          <w:tblCellMar>
            <w:top w:w="0" w:type="dxa"/>
            <w:left w:w="108" w:type="dxa"/>
            <w:bottom w:w="0" w:type="dxa"/>
            <w:right w:w="108" w:type="dxa"/>
          </w:tblCellMar>
        </w:tblPrEx>
        <w:trPr>
          <w:trHeight w:val="142" w:hRule="atLeast"/>
        </w:trPr>
        <w:tc>
          <w:tcPr>
            <w:tcW w:w="1291" w:type="dxa"/>
            <w:tcBorders>
              <w:top w:val="single" w:color="auto" w:sz="8" w:space="0"/>
              <w:left w:val="single" w:color="auto" w:sz="8" w:space="0"/>
              <w:bottom w:val="single" w:color="auto" w:sz="4" w:space="0"/>
              <w:right w:val="single" w:color="auto" w:sz="4" w:space="0"/>
            </w:tcBorders>
            <w:noWrap w:val="0"/>
            <w:vAlign w:val="center"/>
          </w:tcPr>
          <w:p w14:paraId="25F42D7E">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发货</w:t>
            </w:r>
          </w:p>
          <w:p w14:paraId="238B8454">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851" w:type="dxa"/>
            <w:tcBorders>
              <w:top w:val="single" w:color="auto" w:sz="8" w:space="0"/>
              <w:left w:val="nil"/>
              <w:bottom w:val="single" w:color="auto" w:sz="4" w:space="0"/>
              <w:right w:val="single" w:color="auto" w:sz="4" w:space="0"/>
            </w:tcBorders>
            <w:noWrap w:val="0"/>
            <w:vAlign w:val="center"/>
          </w:tcPr>
          <w:p w14:paraId="6F023DAC">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品名</w:t>
            </w:r>
          </w:p>
        </w:tc>
        <w:tc>
          <w:tcPr>
            <w:tcW w:w="850" w:type="dxa"/>
            <w:gridSpan w:val="2"/>
            <w:tcBorders>
              <w:top w:val="single" w:color="auto" w:sz="8" w:space="0"/>
              <w:left w:val="nil"/>
              <w:bottom w:val="single" w:color="auto" w:sz="4" w:space="0"/>
              <w:right w:val="single" w:color="auto" w:sz="4" w:space="0"/>
            </w:tcBorders>
            <w:noWrap w:val="0"/>
            <w:vAlign w:val="center"/>
          </w:tcPr>
          <w:p w14:paraId="4C7CBA4F">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851" w:type="dxa"/>
            <w:tcBorders>
              <w:top w:val="single" w:color="auto" w:sz="8" w:space="0"/>
              <w:left w:val="nil"/>
              <w:bottom w:val="single" w:color="auto" w:sz="4" w:space="0"/>
              <w:right w:val="single" w:color="auto" w:sz="4" w:space="0"/>
            </w:tcBorders>
            <w:noWrap w:val="0"/>
            <w:vAlign w:val="center"/>
          </w:tcPr>
          <w:p w14:paraId="328DDB7C">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产地</w:t>
            </w:r>
          </w:p>
        </w:tc>
        <w:tc>
          <w:tcPr>
            <w:tcW w:w="541" w:type="dxa"/>
            <w:tcBorders>
              <w:top w:val="single" w:color="auto" w:sz="8" w:space="0"/>
              <w:left w:val="nil"/>
              <w:bottom w:val="single" w:color="auto" w:sz="4" w:space="0"/>
              <w:right w:val="single" w:color="auto" w:sz="4" w:space="0"/>
            </w:tcBorders>
            <w:noWrap w:val="0"/>
            <w:vAlign w:val="center"/>
          </w:tcPr>
          <w:p w14:paraId="0CA1EAEC">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材质</w:t>
            </w:r>
          </w:p>
        </w:tc>
        <w:tc>
          <w:tcPr>
            <w:tcW w:w="1330" w:type="dxa"/>
            <w:tcBorders>
              <w:top w:val="single" w:color="auto" w:sz="8" w:space="0"/>
              <w:left w:val="nil"/>
              <w:bottom w:val="single" w:color="auto" w:sz="4" w:space="0"/>
              <w:right w:val="single" w:color="auto" w:sz="4" w:space="0"/>
            </w:tcBorders>
            <w:noWrap w:val="0"/>
            <w:vAlign w:val="center"/>
          </w:tcPr>
          <w:p w14:paraId="4AFB268F">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p w14:paraId="44745444">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（吨）</w:t>
            </w:r>
          </w:p>
        </w:tc>
        <w:tc>
          <w:tcPr>
            <w:tcW w:w="1129" w:type="dxa"/>
            <w:gridSpan w:val="2"/>
            <w:tcBorders>
              <w:top w:val="single" w:color="auto" w:sz="8" w:space="0"/>
              <w:left w:val="nil"/>
              <w:bottom w:val="single" w:color="auto" w:sz="4" w:space="0"/>
              <w:right w:val="single" w:color="auto" w:sz="4" w:space="0"/>
            </w:tcBorders>
            <w:noWrap w:val="0"/>
            <w:vAlign w:val="center"/>
          </w:tcPr>
          <w:p w14:paraId="793AE7F3">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p w14:paraId="3676669B">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（元/吨）</w:t>
            </w:r>
          </w:p>
        </w:tc>
        <w:tc>
          <w:tcPr>
            <w:tcW w:w="1139" w:type="dxa"/>
            <w:tcBorders>
              <w:top w:val="single" w:color="auto" w:sz="8" w:space="0"/>
              <w:left w:val="nil"/>
              <w:bottom w:val="single" w:color="auto" w:sz="4" w:space="0"/>
              <w:right w:val="single" w:color="auto" w:sz="4" w:space="0"/>
            </w:tcBorders>
            <w:noWrap w:val="0"/>
            <w:vAlign w:val="center"/>
          </w:tcPr>
          <w:p w14:paraId="42BD14E1">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金额（元）</w:t>
            </w:r>
          </w:p>
        </w:tc>
        <w:tc>
          <w:tcPr>
            <w:tcW w:w="1099" w:type="dxa"/>
            <w:tcBorders>
              <w:top w:val="single" w:color="auto" w:sz="8" w:space="0"/>
              <w:left w:val="nil"/>
              <w:bottom w:val="single" w:color="auto" w:sz="4" w:space="0"/>
              <w:right w:val="single" w:color="auto" w:sz="8" w:space="0"/>
            </w:tcBorders>
            <w:noWrap w:val="0"/>
            <w:vAlign w:val="center"/>
          </w:tcPr>
          <w:p w14:paraId="35276520">
            <w:pPr>
              <w:numPr>
                <w:ilvl w:val="0"/>
                <w:numId w:val="0"/>
              </w:numPr>
              <w:spacing w:line="240" w:lineRule="auto"/>
              <w:ind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w:t>
            </w:r>
          </w:p>
        </w:tc>
      </w:tr>
      <w:tr w14:paraId="681D9A4C">
        <w:tblPrEx>
          <w:tblCellMar>
            <w:top w:w="0" w:type="dxa"/>
            <w:left w:w="108" w:type="dxa"/>
            <w:bottom w:w="0" w:type="dxa"/>
            <w:right w:w="108" w:type="dxa"/>
          </w:tblCellMar>
        </w:tblPrEx>
        <w:trPr>
          <w:trHeight w:val="420" w:hRule="atLeast"/>
        </w:trPr>
        <w:tc>
          <w:tcPr>
            <w:tcW w:w="1291" w:type="dxa"/>
            <w:tcBorders>
              <w:top w:val="nil"/>
              <w:left w:val="single" w:color="auto" w:sz="8" w:space="0"/>
              <w:bottom w:val="single" w:color="auto" w:sz="4" w:space="0"/>
              <w:right w:val="single" w:color="auto" w:sz="4" w:space="0"/>
            </w:tcBorders>
            <w:noWrap w:val="0"/>
            <w:vAlign w:val="center"/>
          </w:tcPr>
          <w:p w14:paraId="41932D83">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851" w:type="dxa"/>
            <w:tcBorders>
              <w:top w:val="nil"/>
              <w:left w:val="nil"/>
              <w:bottom w:val="single" w:color="auto" w:sz="4" w:space="0"/>
              <w:right w:val="single" w:color="auto" w:sz="4" w:space="0"/>
            </w:tcBorders>
            <w:noWrap w:val="0"/>
            <w:vAlign w:val="center"/>
          </w:tcPr>
          <w:p w14:paraId="1755BA73">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850" w:type="dxa"/>
            <w:gridSpan w:val="2"/>
            <w:tcBorders>
              <w:top w:val="nil"/>
              <w:left w:val="nil"/>
              <w:bottom w:val="single" w:color="auto" w:sz="4" w:space="0"/>
              <w:right w:val="single" w:color="auto" w:sz="4" w:space="0"/>
            </w:tcBorders>
            <w:noWrap w:val="0"/>
            <w:vAlign w:val="center"/>
          </w:tcPr>
          <w:p w14:paraId="76F9C547">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851" w:type="dxa"/>
            <w:tcBorders>
              <w:top w:val="nil"/>
              <w:left w:val="nil"/>
              <w:bottom w:val="single" w:color="auto" w:sz="4" w:space="0"/>
              <w:right w:val="single" w:color="auto" w:sz="4" w:space="0"/>
            </w:tcBorders>
            <w:noWrap w:val="0"/>
            <w:vAlign w:val="center"/>
          </w:tcPr>
          <w:p w14:paraId="25229A0C">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541" w:type="dxa"/>
            <w:tcBorders>
              <w:top w:val="nil"/>
              <w:left w:val="nil"/>
              <w:bottom w:val="single" w:color="auto" w:sz="4" w:space="0"/>
              <w:right w:val="single" w:color="auto" w:sz="4" w:space="0"/>
            </w:tcBorders>
            <w:noWrap w:val="0"/>
            <w:vAlign w:val="center"/>
          </w:tcPr>
          <w:p w14:paraId="4A3D69C1">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330" w:type="dxa"/>
            <w:tcBorders>
              <w:top w:val="nil"/>
              <w:left w:val="nil"/>
              <w:bottom w:val="single" w:color="auto" w:sz="4" w:space="0"/>
              <w:right w:val="single" w:color="auto" w:sz="4" w:space="0"/>
            </w:tcBorders>
            <w:noWrap w:val="0"/>
            <w:vAlign w:val="center"/>
          </w:tcPr>
          <w:p w14:paraId="49507699">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129" w:type="dxa"/>
            <w:gridSpan w:val="2"/>
            <w:tcBorders>
              <w:top w:val="nil"/>
              <w:left w:val="nil"/>
              <w:bottom w:val="single" w:color="auto" w:sz="4" w:space="0"/>
              <w:right w:val="single" w:color="auto" w:sz="4" w:space="0"/>
            </w:tcBorders>
            <w:noWrap w:val="0"/>
            <w:vAlign w:val="center"/>
          </w:tcPr>
          <w:p w14:paraId="44F4C429">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139" w:type="dxa"/>
            <w:tcBorders>
              <w:top w:val="nil"/>
              <w:left w:val="nil"/>
              <w:bottom w:val="single" w:color="auto" w:sz="4" w:space="0"/>
              <w:right w:val="single" w:color="auto" w:sz="4" w:space="0"/>
            </w:tcBorders>
            <w:noWrap w:val="0"/>
            <w:vAlign w:val="center"/>
          </w:tcPr>
          <w:p w14:paraId="6C9EACB0">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099" w:type="dxa"/>
            <w:tcBorders>
              <w:top w:val="nil"/>
              <w:left w:val="nil"/>
              <w:bottom w:val="single" w:color="auto" w:sz="4" w:space="0"/>
              <w:right w:val="single" w:color="auto" w:sz="8" w:space="0"/>
            </w:tcBorders>
            <w:noWrap w:val="0"/>
            <w:vAlign w:val="center"/>
          </w:tcPr>
          <w:p w14:paraId="158F6AD5">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5A0669AE">
        <w:tblPrEx>
          <w:tblCellMar>
            <w:top w:w="0" w:type="dxa"/>
            <w:left w:w="108" w:type="dxa"/>
            <w:bottom w:w="0" w:type="dxa"/>
            <w:right w:w="108" w:type="dxa"/>
          </w:tblCellMar>
        </w:tblPrEx>
        <w:trPr>
          <w:trHeight w:val="420" w:hRule="atLeast"/>
        </w:trPr>
        <w:tc>
          <w:tcPr>
            <w:tcW w:w="1291" w:type="dxa"/>
            <w:tcBorders>
              <w:top w:val="nil"/>
              <w:left w:val="single" w:color="auto" w:sz="8" w:space="0"/>
              <w:bottom w:val="single" w:color="auto" w:sz="4" w:space="0"/>
              <w:right w:val="single" w:color="auto" w:sz="4" w:space="0"/>
            </w:tcBorders>
            <w:noWrap w:val="0"/>
            <w:vAlign w:val="center"/>
          </w:tcPr>
          <w:p w14:paraId="67C7AD22">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3E9E45FB">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0" w:type="dxa"/>
            <w:gridSpan w:val="2"/>
            <w:tcBorders>
              <w:top w:val="nil"/>
              <w:left w:val="nil"/>
              <w:bottom w:val="single" w:color="auto" w:sz="4" w:space="0"/>
              <w:right w:val="single" w:color="auto" w:sz="4" w:space="0"/>
            </w:tcBorders>
            <w:noWrap w:val="0"/>
            <w:vAlign w:val="center"/>
          </w:tcPr>
          <w:p w14:paraId="3A08A88A">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5068DCBF">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541" w:type="dxa"/>
            <w:tcBorders>
              <w:top w:val="nil"/>
              <w:left w:val="nil"/>
              <w:bottom w:val="single" w:color="auto" w:sz="4" w:space="0"/>
              <w:right w:val="single" w:color="auto" w:sz="4" w:space="0"/>
            </w:tcBorders>
            <w:noWrap w:val="0"/>
            <w:vAlign w:val="center"/>
          </w:tcPr>
          <w:p w14:paraId="73C78182">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330" w:type="dxa"/>
            <w:tcBorders>
              <w:top w:val="nil"/>
              <w:left w:val="nil"/>
              <w:bottom w:val="single" w:color="auto" w:sz="4" w:space="0"/>
              <w:right w:val="single" w:color="auto" w:sz="4" w:space="0"/>
            </w:tcBorders>
            <w:noWrap w:val="0"/>
            <w:vAlign w:val="center"/>
          </w:tcPr>
          <w:p w14:paraId="098264B6">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29" w:type="dxa"/>
            <w:gridSpan w:val="2"/>
            <w:tcBorders>
              <w:top w:val="nil"/>
              <w:left w:val="nil"/>
              <w:bottom w:val="single" w:color="auto" w:sz="4" w:space="0"/>
              <w:right w:val="single" w:color="auto" w:sz="4" w:space="0"/>
            </w:tcBorders>
            <w:noWrap w:val="0"/>
            <w:vAlign w:val="center"/>
          </w:tcPr>
          <w:p w14:paraId="1B08C272">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39" w:type="dxa"/>
            <w:tcBorders>
              <w:top w:val="nil"/>
              <w:left w:val="nil"/>
              <w:bottom w:val="single" w:color="auto" w:sz="4" w:space="0"/>
              <w:right w:val="single" w:color="auto" w:sz="4" w:space="0"/>
            </w:tcBorders>
            <w:noWrap w:val="0"/>
            <w:vAlign w:val="center"/>
          </w:tcPr>
          <w:p w14:paraId="754406BA">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099" w:type="dxa"/>
            <w:tcBorders>
              <w:top w:val="nil"/>
              <w:left w:val="nil"/>
              <w:bottom w:val="single" w:color="auto" w:sz="4" w:space="0"/>
              <w:right w:val="single" w:color="auto" w:sz="8" w:space="0"/>
            </w:tcBorders>
            <w:noWrap w:val="0"/>
            <w:vAlign w:val="center"/>
          </w:tcPr>
          <w:p w14:paraId="47357DF1">
            <w:pPr>
              <w:numPr>
                <w:ilvl w:val="0"/>
                <w:numId w:val="0"/>
              </w:numPr>
              <w:spacing w:line="240" w:lineRule="auto"/>
              <w:ind w:leftChars="0"/>
              <w:jc w:val="center"/>
              <w:rPr>
                <w:rFonts w:hint="eastAsia" w:ascii="宋体" w:hAnsi="宋体" w:eastAsia="宋体" w:cs="宋体"/>
                <w:color w:val="auto"/>
                <w:sz w:val="24"/>
                <w:szCs w:val="24"/>
                <w:highlight w:val="none"/>
              </w:rPr>
            </w:pPr>
          </w:p>
        </w:tc>
      </w:tr>
      <w:tr w14:paraId="71EA41B6">
        <w:tblPrEx>
          <w:tblCellMar>
            <w:top w:w="0" w:type="dxa"/>
            <w:left w:w="108" w:type="dxa"/>
            <w:bottom w:w="0" w:type="dxa"/>
            <w:right w:w="108" w:type="dxa"/>
          </w:tblCellMar>
        </w:tblPrEx>
        <w:trPr>
          <w:trHeight w:val="420" w:hRule="atLeast"/>
        </w:trPr>
        <w:tc>
          <w:tcPr>
            <w:tcW w:w="1291" w:type="dxa"/>
            <w:tcBorders>
              <w:top w:val="nil"/>
              <w:left w:val="single" w:color="auto" w:sz="8" w:space="0"/>
              <w:bottom w:val="single" w:color="auto" w:sz="4" w:space="0"/>
              <w:right w:val="single" w:color="auto" w:sz="4" w:space="0"/>
            </w:tcBorders>
            <w:noWrap w:val="0"/>
            <w:vAlign w:val="center"/>
          </w:tcPr>
          <w:p w14:paraId="53659EC3">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7C9F8729">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0" w:type="dxa"/>
            <w:gridSpan w:val="2"/>
            <w:tcBorders>
              <w:top w:val="nil"/>
              <w:left w:val="nil"/>
              <w:bottom w:val="single" w:color="auto" w:sz="4" w:space="0"/>
              <w:right w:val="single" w:color="auto" w:sz="4" w:space="0"/>
            </w:tcBorders>
            <w:noWrap w:val="0"/>
            <w:vAlign w:val="center"/>
          </w:tcPr>
          <w:p w14:paraId="2ED3CF0E">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696FFF02">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541" w:type="dxa"/>
            <w:tcBorders>
              <w:top w:val="nil"/>
              <w:left w:val="nil"/>
              <w:bottom w:val="single" w:color="auto" w:sz="4" w:space="0"/>
              <w:right w:val="single" w:color="auto" w:sz="4" w:space="0"/>
            </w:tcBorders>
            <w:noWrap w:val="0"/>
            <w:vAlign w:val="center"/>
          </w:tcPr>
          <w:p w14:paraId="0AFA99BD">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330" w:type="dxa"/>
            <w:tcBorders>
              <w:top w:val="nil"/>
              <w:left w:val="nil"/>
              <w:bottom w:val="single" w:color="auto" w:sz="4" w:space="0"/>
              <w:right w:val="single" w:color="auto" w:sz="4" w:space="0"/>
            </w:tcBorders>
            <w:noWrap w:val="0"/>
            <w:vAlign w:val="center"/>
          </w:tcPr>
          <w:p w14:paraId="3362E51A">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29" w:type="dxa"/>
            <w:gridSpan w:val="2"/>
            <w:tcBorders>
              <w:top w:val="nil"/>
              <w:left w:val="nil"/>
              <w:bottom w:val="single" w:color="auto" w:sz="4" w:space="0"/>
              <w:right w:val="single" w:color="auto" w:sz="4" w:space="0"/>
            </w:tcBorders>
            <w:noWrap w:val="0"/>
            <w:vAlign w:val="center"/>
          </w:tcPr>
          <w:p w14:paraId="18ABAACF">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39" w:type="dxa"/>
            <w:tcBorders>
              <w:top w:val="nil"/>
              <w:left w:val="nil"/>
              <w:bottom w:val="single" w:color="auto" w:sz="4" w:space="0"/>
              <w:right w:val="single" w:color="auto" w:sz="4" w:space="0"/>
            </w:tcBorders>
            <w:noWrap w:val="0"/>
            <w:vAlign w:val="center"/>
          </w:tcPr>
          <w:p w14:paraId="339E3871">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099" w:type="dxa"/>
            <w:tcBorders>
              <w:top w:val="nil"/>
              <w:left w:val="nil"/>
              <w:bottom w:val="single" w:color="auto" w:sz="4" w:space="0"/>
              <w:right w:val="single" w:color="auto" w:sz="8" w:space="0"/>
            </w:tcBorders>
            <w:noWrap w:val="0"/>
            <w:vAlign w:val="center"/>
          </w:tcPr>
          <w:p w14:paraId="6CF0F6CC">
            <w:pPr>
              <w:numPr>
                <w:ilvl w:val="0"/>
                <w:numId w:val="0"/>
              </w:numPr>
              <w:spacing w:line="240" w:lineRule="auto"/>
              <w:ind w:leftChars="0"/>
              <w:jc w:val="center"/>
              <w:rPr>
                <w:rFonts w:hint="eastAsia" w:ascii="宋体" w:hAnsi="宋体" w:eastAsia="宋体" w:cs="宋体"/>
                <w:color w:val="auto"/>
                <w:sz w:val="24"/>
                <w:szCs w:val="24"/>
                <w:highlight w:val="none"/>
              </w:rPr>
            </w:pPr>
          </w:p>
        </w:tc>
      </w:tr>
      <w:tr w14:paraId="24D101AB">
        <w:tblPrEx>
          <w:tblCellMar>
            <w:top w:w="0" w:type="dxa"/>
            <w:left w:w="108" w:type="dxa"/>
            <w:bottom w:w="0" w:type="dxa"/>
            <w:right w:w="108" w:type="dxa"/>
          </w:tblCellMar>
        </w:tblPrEx>
        <w:trPr>
          <w:trHeight w:val="420" w:hRule="atLeast"/>
        </w:trPr>
        <w:tc>
          <w:tcPr>
            <w:tcW w:w="1291" w:type="dxa"/>
            <w:tcBorders>
              <w:top w:val="nil"/>
              <w:left w:val="single" w:color="auto" w:sz="8" w:space="0"/>
              <w:bottom w:val="single" w:color="auto" w:sz="4" w:space="0"/>
              <w:right w:val="single" w:color="auto" w:sz="4" w:space="0"/>
            </w:tcBorders>
            <w:noWrap w:val="0"/>
            <w:vAlign w:val="center"/>
          </w:tcPr>
          <w:p w14:paraId="174322E7">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25F88D78">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0" w:type="dxa"/>
            <w:gridSpan w:val="2"/>
            <w:tcBorders>
              <w:top w:val="nil"/>
              <w:left w:val="nil"/>
              <w:bottom w:val="single" w:color="auto" w:sz="4" w:space="0"/>
              <w:right w:val="single" w:color="auto" w:sz="4" w:space="0"/>
            </w:tcBorders>
            <w:noWrap w:val="0"/>
            <w:vAlign w:val="center"/>
          </w:tcPr>
          <w:p w14:paraId="322C9AE8">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851" w:type="dxa"/>
            <w:tcBorders>
              <w:top w:val="nil"/>
              <w:left w:val="nil"/>
              <w:bottom w:val="single" w:color="auto" w:sz="4" w:space="0"/>
              <w:right w:val="single" w:color="auto" w:sz="4" w:space="0"/>
            </w:tcBorders>
            <w:noWrap w:val="0"/>
            <w:vAlign w:val="center"/>
          </w:tcPr>
          <w:p w14:paraId="5E8B08CB">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541" w:type="dxa"/>
            <w:tcBorders>
              <w:top w:val="nil"/>
              <w:left w:val="nil"/>
              <w:bottom w:val="single" w:color="auto" w:sz="4" w:space="0"/>
              <w:right w:val="single" w:color="auto" w:sz="4" w:space="0"/>
            </w:tcBorders>
            <w:noWrap w:val="0"/>
            <w:vAlign w:val="center"/>
          </w:tcPr>
          <w:p w14:paraId="6A8956C0">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330" w:type="dxa"/>
            <w:tcBorders>
              <w:top w:val="nil"/>
              <w:left w:val="nil"/>
              <w:bottom w:val="single" w:color="auto" w:sz="4" w:space="0"/>
              <w:right w:val="single" w:color="auto" w:sz="4" w:space="0"/>
            </w:tcBorders>
            <w:noWrap w:val="0"/>
            <w:vAlign w:val="center"/>
          </w:tcPr>
          <w:p w14:paraId="13CF44BE">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29" w:type="dxa"/>
            <w:gridSpan w:val="2"/>
            <w:tcBorders>
              <w:top w:val="nil"/>
              <w:left w:val="nil"/>
              <w:bottom w:val="single" w:color="auto" w:sz="4" w:space="0"/>
              <w:right w:val="single" w:color="auto" w:sz="4" w:space="0"/>
            </w:tcBorders>
            <w:noWrap w:val="0"/>
            <w:vAlign w:val="center"/>
          </w:tcPr>
          <w:p w14:paraId="4396D146">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139" w:type="dxa"/>
            <w:tcBorders>
              <w:top w:val="nil"/>
              <w:left w:val="nil"/>
              <w:bottom w:val="single" w:color="auto" w:sz="4" w:space="0"/>
              <w:right w:val="single" w:color="auto" w:sz="4" w:space="0"/>
            </w:tcBorders>
            <w:noWrap w:val="0"/>
            <w:vAlign w:val="center"/>
          </w:tcPr>
          <w:p w14:paraId="571BC03D">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099" w:type="dxa"/>
            <w:tcBorders>
              <w:top w:val="nil"/>
              <w:left w:val="nil"/>
              <w:bottom w:val="single" w:color="auto" w:sz="4" w:space="0"/>
              <w:right w:val="single" w:color="auto" w:sz="8" w:space="0"/>
            </w:tcBorders>
            <w:noWrap w:val="0"/>
            <w:vAlign w:val="center"/>
          </w:tcPr>
          <w:p w14:paraId="5F0A3C2A">
            <w:pPr>
              <w:numPr>
                <w:ilvl w:val="0"/>
                <w:numId w:val="0"/>
              </w:numPr>
              <w:spacing w:line="240" w:lineRule="auto"/>
              <w:ind w:leftChars="0"/>
              <w:jc w:val="center"/>
              <w:rPr>
                <w:rFonts w:hint="eastAsia" w:ascii="宋体" w:hAnsi="宋体" w:eastAsia="宋体" w:cs="宋体"/>
                <w:color w:val="auto"/>
                <w:sz w:val="24"/>
                <w:szCs w:val="24"/>
                <w:highlight w:val="none"/>
              </w:rPr>
            </w:pPr>
          </w:p>
        </w:tc>
      </w:tr>
      <w:tr w14:paraId="12F8B3D3">
        <w:tblPrEx>
          <w:tblCellMar>
            <w:top w:w="0" w:type="dxa"/>
            <w:left w:w="108" w:type="dxa"/>
            <w:bottom w:w="0" w:type="dxa"/>
            <w:right w:w="108" w:type="dxa"/>
          </w:tblCellMar>
        </w:tblPrEx>
        <w:trPr>
          <w:trHeight w:val="465" w:hRule="atLeast"/>
        </w:trPr>
        <w:tc>
          <w:tcPr>
            <w:tcW w:w="6843" w:type="dxa"/>
            <w:gridSpan w:val="9"/>
            <w:tcBorders>
              <w:top w:val="single" w:color="auto" w:sz="4" w:space="0"/>
              <w:left w:val="single" w:color="auto" w:sz="8" w:space="0"/>
              <w:bottom w:val="single" w:color="auto" w:sz="4" w:space="0"/>
              <w:right w:val="single" w:color="auto" w:sz="4" w:space="0"/>
            </w:tcBorders>
            <w:noWrap w:val="0"/>
            <w:vAlign w:val="center"/>
          </w:tcPr>
          <w:p w14:paraId="1EE62C1B">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本次确认开具发票金额合计：</w:t>
            </w:r>
          </w:p>
        </w:tc>
        <w:tc>
          <w:tcPr>
            <w:tcW w:w="1139" w:type="dxa"/>
            <w:tcBorders>
              <w:top w:val="nil"/>
              <w:left w:val="nil"/>
              <w:bottom w:val="single" w:color="auto" w:sz="4" w:space="0"/>
              <w:right w:val="single" w:color="auto" w:sz="4" w:space="0"/>
            </w:tcBorders>
            <w:noWrap w:val="0"/>
            <w:vAlign w:val="center"/>
          </w:tcPr>
          <w:p w14:paraId="4A11DD43">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099" w:type="dxa"/>
            <w:tcBorders>
              <w:top w:val="nil"/>
              <w:left w:val="nil"/>
              <w:bottom w:val="single" w:color="auto" w:sz="4" w:space="0"/>
              <w:right w:val="single" w:color="auto" w:sz="8" w:space="0"/>
            </w:tcBorders>
            <w:noWrap w:val="0"/>
            <w:vAlign w:val="center"/>
          </w:tcPr>
          <w:p w14:paraId="2FEC7F8E">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0F122A54">
        <w:tblPrEx>
          <w:tblCellMar>
            <w:top w:w="0" w:type="dxa"/>
            <w:left w:w="108" w:type="dxa"/>
            <w:bottom w:w="0" w:type="dxa"/>
            <w:right w:w="108" w:type="dxa"/>
          </w:tblCellMar>
        </w:tblPrEx>
        <w:trPr>
          <w:trHeight w:val="465" w:hRule="atLeast"/>
        </w:trPr>
        <w:tc>
          <w:tcPr>
            <w:tcW w:w="6843" w:type="dxa"/>
            <w:gridSpan w:val="9"/>
            <w:tcBorders>
              <w:top w:val="single" w:color="auto" w:sz="4" w:space="0"/>
              <w:left w:val="single" w:color="auto" w:sz="8" w:space="0"/>
              <w:bottom w:val="single" w:color="auto" w:sz="4" w:space="0"/>
              <w:right w:val="single" w:color="auto" w:sz="4" w:space="0"/>
            </w:tcBorders>
            <w:noWrap w:val="0"/>
            <w:vAlign w:val="center"/>
          </w:tcPr>
          <w:p w14:paraId="69370D1E">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不含税金额合计：</w:t>
            </w:r>
          </w:p>
        </w:tc>
        <w:tc>
          <w:tcPr>
            <w:tcW w:w="1139" w:type="dxa"/>
            <w:tcBorders>
              <w:top w:val="nil"/>
              <w:left w:val="nil"/>
              <w:bottom w:val="single" w:color="auto" w:sz="4" w:space="0"/>
              <w:right w:val="single" w:color="auto" w:sz="4" w:space="0"/>
            </w:tcBorders>
            <w:noWrap w:val="0"/>
            <w:vAlign w:val="center"/>
          </w:tcPr>
          <w:p w14:paraId="3A987BC9">
            <w:pPr>
              <w:numPr>
                <w:ilvl w:val="0"/>
                <w:numId w:val="0"/>
              </w:numPr>
              <w:spacing w:line="240" w:lineRule="auto"/>
              <w:ind w:leftChars="0"/>
              <w:jc w:val="center"/>
              <w:rPr>
                <w:rFonts w:hint="eastAsia" w:ascii="宋体" w:hAnsi="宋体" w:eastAsia="宋体" w:cs="宋体"/>
                <w:color w:val="auto"/>
                <w:sz w:val="24"/>
                <w:szCs w:val="24"/>
                <w:highlight w:val="none"/>
              </w:rPr>
            </w:pPr>
          </w:p>
        </w:tc>
        <w:tc>
          <w:tcPr>
            <w:tcW w:w="1099" w:type="dxa"/>
            <w:tcBorders>
              <w:top w:val="nil"/>
              <w:left w:val="nil"/>
              <w:bottom w:val="single" w:color="auto" w:sz="4" w:space="0"/>
              <w:right w:val="single" w:color="auto" w:sz="8" w:space="0"/>
            </w:tcBorders>
            <w:noWrap w:val="0"/>
            <w:vAlign w:val="center"/>
          </w:tcPr>
          <w:p w14:paraId="0AFDA3D2">
            <w:pPr>
              <w:numPr>
                <w:ilvl w:val="0"/>
                <w:numId w:val="0"/>
              </w:numPr>
              <w:spacing w:line="240" w:lineRule="auto"/>
              <w:ind w:leftChars="0"/>
              <w:jc w:val="center"/>
              <w:rPr>
                <w:rFonts w:hint="eastAsia" w:ascii="宋体" w:hAnsi="宋体" w:eastAsia="宋体" w:cs="宋体"/>
                <w:color w:val="auto"/>
                <w:sz w:val="24"/>
                <w:szCs w:val="24"/>
                <w:highlight w:val="none"/>
              </w:rPr>
            </w:pPr>
          </w:p>
        </w:tc>
      </w:tr>
      <w:tr w14:paraId="5B5EA198">
        <w:tblPrEx>
          <w:tblCellMar>
            <w:top w:w="0" w:type="dxa"/>
            <w:left w:w="108" w:type="dxa"/>
            <w:bottom w:w="0" w:type="dxa"/>
            <w:right w:w="108" w:type="dxa"/>
          </w:tblCellMar>
        </w:tblPrEx>
        <w:trPr>
          <w:trHeight w:val="480" w:hRule="atLeast"/>
        </w:trPr>
        <w:tc>
          <w:tcPr>
            <w:tcW w:w="9081" w:type="dxa"/>
            <w:gridSpan w:val="11"/>
            <w:tcBorders>
              <w:top w:val="single" w:color="auto" w:sz="4" w:space="0"/>
              <w:left w:val="single" w:color="auto" w:sz="8" w:space="0"/>
              <w:bottom w:val="single" w:color="auto" w:sz="8" w:space="0"/>
              <w:right w:val="single" w:color="000000" w:sz="8" w:space="0"/>
            </w:tcBorders>
            <w:noWrap w:val="0"/>
            <w:vAlign w:val="center"/>
          </w:tcPr>
          <w:p w14:paraId="59F9CB19">
            <w:pPr>
              <w:numPr>
                <w:ilvl w:val="0"/>
                <w:numId w:val="0"/>
              </w:numPr>
              <w:spacing w:line="240" w:lineRule="auto"/>
              <w:ind w:lef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（不含税金额根据含税金额及税率计算，最终以发票开具的不含税金额为准）</w:t>
            </w:r>
          </w:p>
        </w:tc>
      </w:tr>
      <w:tr w14:paraId="1B6DA72C">
        <w:tblPrEx>
          <w:tblCellMar>
            <w:top w:w="0" w:type="dxa"/>
            <w:left w:w="108" w:type="dxa"/>
            <w:bottom w:w="0" w:type="dxa"/>
            <w:right w:w="108" w:type="dxa"/>
          </w:tblCellMar>
        </w:tblPrEx>
        <w:trPr>
          <w:trHeight w:val="480" w:hRule="atLeast"/>
        </w:trPr>
        <w:tc>
          <w:tcPr>
            <w:tcW w:w="9081" w:type="dxa"/>
            <w:gridSpan w:val="11"/>
            <w:tcBorders>
              <w:top w:val="single" w:color="auto" w:sz="4" w:space="0"/>
              <w:left w:val="single" w:color="auto" w:sz="8" w:space="0"/>
              <w:bottom w:val="single" w:color="auto" w:sz="8" w:space="0"/>
              <w:right w:val="single" w:color="000000" w:sz="8" w:space="0"/>
            </w:tcBorders>
            <w:noWrap w:val="0"/>
            <w:vAlign w:val="center"/>
          </w:tcPr>
          <w:p w14:paraId="037715AD">
            <w:pPr>
              <w:widowControl/>
              <w:numPr>
                <w:ilvl w:val="0"/>
                <w:numId w:val="0"/>
              </w:numPr>
              <w:wordWrap w:val="0"/>
              <w:spacing w:line="24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本期结算说明</w:t>
            </w:r>
          </w:p>
        </w:tc>
      </w:tr>
      <w:tr w14:paraId="31FD25E3">
        <w:tblPrEx>
          <w:tblCellMar>
            <w:top w:w="0" w:type="dxa"/>
            <w:left w:w="108" w:type="dxa"/>
            <w:bottom w:w="0" w:type="dxa"/>
            <w:right w:w="108" w:type="dxa"/>
          </w:tblCellMar>
        </w:tblPrEx>
        <w:trPr>
          <w:trHeight w:val="646" w:hRule="atLeast"/>
        </w:trPr>
        <w:tc>
          <w:tcPr>
            <w:tcW w:w="2322" w:type="dxa"/>
            <w:gridSpan w:val="3"/>
            <w:tcBorders>
              <w:top w:val="single" w:color="auto" w:sz="4" w:space="0"/>
              <w:left w:val="single" w:color="auto" w:sz="8" w:space="0"/>
              <w:bottom w:val="single" w:color="auto" w:sz="8" w:space="0"/>
              <w:right w:val="single" w:color="000000" w:sz="8" w:space="0"/>
            </w:tcBorders>
            <w:noWrap w:val="0"/>
            <w:vAlign w:val="center"/>
          </w:tcPr>
          <w:p w14:paraId="3E71733F">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①</w:t>
            </w:r>
            <w:r>
              <w:rPr>
                <w:rFonts w:hint="eastAsia" w:ascii="宋体" w:hAnsi="宋体" w:eastAsia="宋体" w:cs="宋体"/>
                <w:color w:val="auto"/>
                <w:sz w:val="24"/>
                <w:szCs w:val="24"/>
                <w:highlight w:val="none"/>
              </w:rPr>
              <w:t>上期余款金额</w:t>
            </w:r>
            <w:r>
              <w:rPr>
                <w:rFonts w:hint="eastAsia" w:ascii="宋体" w:hAnsi="宋体" w:eastAsia="宋体" w:cs="宋体"/>
                <w:color w:val="auto"/>
                <w:sz w:val="24"/>
                <w:szCs w:val="24"/>
                <w:highlight w:val="none"/>
                <w:lang w:eastAsia="zh-CN"/>
              </w:rPr>
              <w:t>（余额</w:t>
            </w:r>
            <w:r>
              <w:rPr>
                <w:rFonts w:hint="eastAsia" w:ascii="宋体" w:hAnsi="宋体" w:eastAsia="宋体" w:cs="宋体"/>
                <w:color w:val="auto"/>
                <w:sz w:val="24"/>
                <w:szCs w:val="24"/>
                <w:highlight w:val="none"/>
                <w:lang w:val="en-US" w:eastAsia="zh-CN"/>
              </w:rPr>
              <w:t>正</w:t>
            </w:r>
            <w:r>
              <w:rPr>
                <w:rFonts w:hint="eastAsia" w:ascii="宋体" w:hAnsi="宋体" w:eastAsia="宋体" w:cs="宋体"/>
                <w:color w:val="auto"/>
                <w:sz w:val="24"/>
                <w:szCs w:val="24"/>
                <w:highlight w:val="none"/>
                <w:lang w:eastAsia="zh-CN"/>
              </w:rPr>
              <w:t>数，则为需方欠款）</w:t>
            </w:r>
          </w:p>
        </w:tc>
        <w:tc>
          <w:tcPr>
            <w:tcW w:w="2062" w:type="dxa"/>
            <w:gridSpan w:val="3"/>
            <w:tcBorders>
              <w:top w:val="single" w:color="auto" w:sz="4" w:space="0"/>
              <w:left w:val="single" w:color="auto" w:sz="8" w:space="0"/>
              <w:bottom w:val="single" w:color="auto" w:sz="8" w:space="0"/>
              <w:right w:val="single" w:color="000000" w:sz="8" w:space="0"/>
            </w:tcBorders>
            <w:noWrap w:val="0"/>
            <w:vAlign w:val="center"/>
          </w:tcPr>
          <w:p w14:paraId="70D117B6">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②</w:t>
            </w:r>
            <w:r>
              <w:rPr>
                <w:rFonts w:hint="eastAsia" w:ascii="宋体" w:hAnsi="宋体" w:eastAsia="宋体" w:cs="宋体"/>
                <w:color w:val="auto"/>
                <w:sz w:val="24"/>
                <w:szCs w:val="24"/>
                <w:highlight w:val="none"/>
              </w:rPr>
              <w:t>本期</w:t>
            </w:r>
            <w:r>
              <w:rPr>
                <w:rFonts w:hint="eastAsia" w:ascii="宋体" w:hAnsi="宋体" w:eastAsia="宋体" w:cs="宋体"/>
                <w:color w:val="auto"/>
                <w:sz w:val="24"/>
                <w:szCs w:val="24"/>
                <w:highlight w:val="none"/>
                <w:lang w:eastAsia="zh-CN"/>
              </w:rPr>
              <w:t>发生</w:t>
            </w:r>
            <w:r>
              <w:rPr>
                <w:rFonts w:hint="eastAsia" w:ascii="宋体" w:hAnsi="宋体" w:eastAsia="宋体" w:cs="宋体"/>
                <w:color w:val="auto"/>
                <w:sz w:val="24"/>
                <w:szCs w:val="24"/>
                <w:highlight w:val="none"/>
              </w:rPr>
              <w:t>金额</w:t>
            </w:r>
          </w:p>
        </w:tc>
        <w:tc>
          <w:tcPr>
            <w:tcW w:w="1770" w:type="dxa"/>
            <w:gridSpan w:val="2"/>
            <w:tcBorders>
              <w:top w:val="single" w:color="auto" w:sz="4" w:space="0"/>
              <w:left w:val="single" w:color="auto" w:sz="8" w:space="0"/>
              <w:bottom w:val="single" w:color="auto" w:sz="8" w:space="0"/>
              <w:right w:val="single" w:color="000000" w:sz="8" w:space="0"/>
            </w:tcBorders>
            <w:noWrap w:val="0"/>
            <w:vAlign w:val="center"/>
          </w:tcPr>
          <w:p w14:paraId="104A527C">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③</w:t>
            </w:r>
            <w:r>
              <w:rPr>
                <w:rFonts w:hint="eastAsia" w:ascii="宋体" w:hAnsi="宋体" w:eastAsia="宋体" w:cs="宋体"/>
                <w:color w:val="auto"/>
                <w:sz w:val="24"/>
                <w:szCs w:val="24"/>
                <w:highlight w:val="none"/>
              </w:rPr>
              <w:t>本期付款金额</w:t>
            </w:r>
          </w:p>
        </w:tc>
        <w:tc>
          <w:tcPr>
            <w:tcW w:w="2927" w:type="dxa"/>
            <w:gridSpan w:val="3"/>
            <w:tcBorders>
              <w:top w:val="single" w:color="auto" w:sz="4" w:space="0"/>
              <w:left w:val="single" w:color="auto" w:sz="8" w:space="0"/>
              <w:bottom w:val="single" w:color="auto" w:sz="8" w:space="0"/>
              <w:right w:val="single" w:color="000000" w:sz="8" w:space="0"/>
            </w:tcBorders>
            <w:noWrap w:val="0"/>
            <w:vAlign w:val="center"/>
          </w:tcPr>
          <w:p w14:paraId="6D8C1317">
            <w:pPr>
              <w:numPr>
                <w:ilvl w:val="0"/>
                <w:numId w:val="0"/>
              </w:numPr>
              <w:spacing w:line="240" w:lineRule="auto"/>
              <w:ind w:leftChars="0" w:firstLine="220" w:firstLineChars="1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④</w:t>
            </w:r>
            <w:r>
              <w:rPr>
                <w:rFonts w:hint="eastAsia" w:ascii="宋体" w:hAnsi="宋体" w:eastAsia="宋体" w:cs="宋体"/>
                <w:color w:val="auto"/>
                <w:sz w:val="24"/>
                <w:szCs w:val="24"/>
                <w:highlight w:val="none"/>
              </w:rPr>
              <w:t>本期</w:t>
            </w:r>
            <w:r>
              <w:rPr>
                <w:rFonts w:hint="eastAsia" w:ascii="宋体" w:hAnsi="宋体" w:eastAsia="宋体" w:cs="宋体"/>
                <w:color w:val="auto"/>
                <w:sz w:val="24"/>
                <w:szCs w:val="24"/>
                <w:highlight w:val="none"/>
                <w:lang w:eastAsia="zh-CN"/>
              </w:rPr>
              <w:t>余</w:t>
            </w:r>
            <w:r>
              <w:rPr>
                <w:rFonts w:hint="eastAsia" w:ascii="宋体" w:hAnsi="宋体" w:eastAsia="宋体" w:cs="宋体"/>
                <w:color w:val="auto"/>
                <w:sz w:val="24"/>
                <w:szCs w:val="24"/>
                <w:highlight w:val="none"/>
              </w:rPr>
              <w:t>额</w:t>
            </w:r>
          </w:p>
          <w:p w14:paraId="58F3FD08">
            <w:pPr>
              <w:numPr>
                <w:ilvl w:val="0"/>
                <w:numId w:val="0"/>
              </w:numPr>
              <w:spacing w:line="240" w:lineRule="auto"/>
              <w:ind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（④</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①</w:t>
            </w:r>
            <w:r>
              <w:rPr>
                <w:rFonts w:hint="eastAsia" w:ascii="宋体" w:hAnsi="宋体" w:eastAsia="宋体" w:cs="宋体"/>
                <w:color w:val="auto"/>
                <w:sz w:val="24"/>
                <w:szCs w:val="24"/>
                <w:highlight w:val="none"/>
                <w:lang w:val="en-US" w:eastAsia="zh-CN"/>
              </w:rPr>
              <w:t>+②-③</w:t>
            </w:r>
            <w:r>
              <w:rPr>
                <w:rFonts w:hint="eastAsia" w:ascii="宋体" w:hAnsi="宋体" w:eastAsia="宋体" w:cs="宋体"/>
                <w:color w:val="auto"/>
                <w:sz w:val="24"/>
                <w:szCs w:val="24"/>
                <w:highlight w:val="none"/>
                <w:lang w:eastAsia="zh-CN"/>
              </w:rPr>
              <w:t>）</w:t>
            </w:r>
          </w:p>
          <w:p w14:paraId="23203EB8">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（余额</w:t>
            </w:r>
            <w:r>
              <w:rPr>
                <w:rFonts w:hint="eastAsia" w:ascii="宋体" w:hAnsi="宋体" w:eastAsia="宋体" w:cs="宋体"/>
                <w:color w:val="auto"/>
                <w:sz w:val="24"/>
                <w:szCs w:val="24"/>
                <w:highlight w:val="none"/>
                <w:lang w:val="en-US" w:eastAsia="zh-CN"/>
              </w:rPr>
              <w:t>正</w:t>
            </w:r>
            <w:r>
              <w:rPr>
                <w:rFonts w:hint="eastAsia" w:ascii="宋体" w:hAnsi="宋体" w:eastAsia="宋体" w:cs="宋体"/>
                <w:color w:val="auto"/>
                <w:sz w:val="24"/>
                <w:szCs w:val="24"/>
                <w:highlight w:val="none"/>
                <w:lang w:eastAsia="zh-CN"/>
              </w:rPr>
              <w:t>数，则为需方欠款）</w:t>
            </w:r>
          </w:p>
        </w:tc>
      </w:tr>
      <w:tr w14:paraId="126CFBB0">
        <w:tblPrEx>
          <w:tblCellMar>
            <w:top w:w="0" w:type="dxa"/>
            <w:left w:w="108" w:type="dxa"/>
            <w:bottom w:w="0" w:type="dxa"/>
            <w:right w:w="108" w:type="dxa"/>
          </w:tblCellMar>
        </w:tblPrEx>
        <w:trPr>
          <w:trHeight w:val="480" w:hRule="atLeast"/>
        </w:trPr>
        <w:tc>
          <w:tcPr>
            <w:tcW w:w="2322" w:type="dxa"/>
            <w:gridSpan w:val="3"/>
            <w:tcBorders>
              <w:top w:val="single" w:color="auto" w:sz="4" w:space="0"/>
              <w:left w:val="single" w:color="auto" w:sz="8" w:space="0"/>
              <w:bottom w:val="single" w:color="auto" w:sz="8" w:space="0"/>
              <w:right w:val="single" w:color="000000" w:sz="8" w:space="0"/>
            </w:tcBorders>
            <w:noWrap w:val="0"/>
            <w:vAlign w:val="center"/>
          </w:tcPr>
          <w:p w14:paraId="5CDC239E">
            <w:pPr>
              <w:numPr>
                <w:ilvl w:val="0"/>
                <w:numId w:val="0"/>
              </w:numPr>
              <w:spacing w:line="240" w:lineRule="auto"/>
              <w:ind w:left="0" w:leftChars="0" w:firstLine="220" w:firstLineChars="100"/>
              <w:jc w:val="center"/>
              <w:rPr>
                <w:rFonts w:hint="eastAsia" w:ascii="宋体" w:hAnsi="宋体" w:eastAsia="宋体" w:cs="宋体"/>
                <w:color w:val="auto"/>
                <w:sz w:val="24"/>
                <w:szCs w:val="24"/>
                <w:highlight w:val="none"/>
              </w:rPr>
            </w:pPr>
          </w:p>
        </w:tc>
        <w:tc>
          <w:tcPr>
            <w:tcW w:w="2062" w:type="dxa"/>
            <w:gridSpan w:val="3"/>
            <w:tcBorders>
              <w:top w:val="single" w:color="auto" w:sz="4" w:space="0"/>
              <w:left w:val="single" w:color="auto" w:sz="8" w:space="0"/>
              <w:bottom w:val="single" w:color="auto" w:sz="8" w:space="0"/>
              <w:right w:val="single" w:color="000000" w:sz="8" w:space="0"/>
            </w:tcBorders>
            <w:noWrap w:val="0"/>
            <w:vAlign w:val="center"/>
          </w:tcPr>
          <w:p w14:paraId="66351C2A">
            <w:pPr>
              <w:numPr>
                <w:ilvl w:val="0"/>
                <w:numId w:val="0"/>
              </w:numPr>
              <w:tabs>
                <w:tab w:val="left" w:pos="1759"/>
              </w:tabs>
              <w:spacing w:line="24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ab/>
            </w:r>
          </w:p>
        </w:tc>
        <w:tc>
          <w:tcPr>
            <w:tcW w:w="1770" w:type="dxa"/>
            <w:gridSpan w:val="2"/>
            <w:tcBorders>
              <w:top w:val="single" w:color="auto" w:sz="4" w:space="0"/>
              <w:left w:val="single" w:color="auto" w:sz="8" w:space="0"/>
              <w:bottom w:val="single" w:color="auto" w:sz="8" w:space="0"/>
              <w:right w:val="single" w:color="000000" w:sz="8" w:space="0"/>
            </w:tcBorders>
            <w:noWrap w:val="0"/>
            <w:vAlign w:val="center"/>
          </w:tcPr>
          <w:p w14:paraId="4BC9AA58">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p>
        </w:tc>
        <w:tc>
          <w:tcPr>
            <w:tcW w:w="2927" w:type="dxa"/>
            <w:gridSpan w:val="3"/>
            <w:tcBorders>
              <w:top w:val="single" w:color="auto" w:sz="4" w:space="0"/>
              <w:left w:val="single" w:color="auto" w:sz="8" w:space="0"/>
              <w:bottom w:val="single" w:color="auto" w:sz="8" w:space="0"/>
              <w:right w:val="single" w:color="000000" w:sz="8" w:space="0"/>
            </w:tcBorders>
            <w:noWrap w:val="0"/>
            <w:vAlign w:val="center"/>
          </w:tcPr>
          <w:p w14:paraId="66A30D9F">
            <w:pPr>
              <w:numPr>
                <w:ilvl w:val="0"/>
                <w:numId w:val="0"/>
              </w:numPr>
              <w:spacing w:line="240" w:lineRule="auto"/>
              <w:ind w:left="0" w:leftChars="0" w:firstLine="0" w:firstLineChars="0"/>
              <w:jc w:val="center"/>
              <w:rPr>
                <w:rFonts w:hint="eastAsia" w:ascii="宋体" w:hAnsi="宋体" w:eastAsia="宋体" w:cs="宋体"/>
                <w:color w:val="auto"/>
                <w:sz w:val="24"/>
                <w:szCs w:val="24"/>
                <w:highlight w:val="none"/>
              </w:rPr>
            </w:pPr>
          </w:p>
        </w:tc>
      </w:tr>
      <w:tr w14:paraId="10D2E396">
        <w:tblPrEx>
          <w:tblCellMar>
            <w:top w:w="0" w:type="dxa"/>
            <w:left w:w="108" w:type="dxa"/>
            <w:bottom w:w="0" w:type="dxa"/>
            <w:right w:w="108" w:type="dxa"/>
          </w:tblCellMar>
        </w:tblPrEx>
        <w:trPr>
          <w:trHeight w:val="856" w:hRule="atLeast"/>
        </w:trPr>
        <w:tc>
          <w:tcPr>
            <w:tcW w:w="9081" w:type="dxa"/>
            <w:gridSpan w:val="11"/>
            <w:tcBorders>
              <w:top w:val="single" w:color="auto" w:sz="4" w:space="0"/>
              <w:left w:val="single" w:color="auto" w:sz="8" w:space="0"/>
              <w:bottom w:val="single" w:color="auto" w:sz="8" w:space="0"/>
              <w:right w:val="single" w:color="000000" w:sz="8" w:space="0"/>
            </w:tcBorders>
            <w:noWrap w:val="0"/>
            <w:vAlign w:val="center"/>
          </w:tcPr>
          <w:p w14:paraId="78EBF5F3">
            <w:pPr>
              <w:numPr>
                <w:ilvl w:val="0"/>
                <w:numId w:val="0"/>
              </w:numPr>
              <w:spacing w:line="240" w:lineRule="auto"/>
              <w:ind w:lef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1.本表所示结算周期内发生的全部款项，双方已明确结算完毕，不存在其他任何争议及遗留问题。</w:t>
            </w:r>
          </w:p>
          <w:p w14:paraId="6AF7FC04">
            <w:pPr>
              <w:numPr>
                <w:ilvl w:val="0"/>
                <w:numId w:val="0"/>
              </w:numPr>
              <w:spacing w:line="240" w:lineRule="auto"/>
              <w:ind w:left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2.本表须经甲方被授权人员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同时签字方为有效，其中一人或其他任何人签字均无效。</w:t>
            </w:r>
          </w:p>
        </w:tc>
      </w:tr>
      <w:tr w14:paraId="49AB6D68">
        <w:tblPrEx>
          <w:tblCellMar>
            <w:top w:w="0" w:type="dxa"/>
            <w:left w:w="108" w:type="dxa"/>
            <w:bottom w:w="0" w:type="dxa"/>
            <w:right w:w="108" w:type="dxa"/>
          </w:tblCellMar>
        </w:tblPrEx>
        <w:trPr>
          <w:trHeight w:val="685" w:hRule="atLeast"/>
        </w:trPr>
        <w:tc>
          <w:tcPr>
            <w:tcW w:w="4384" w:type="dxa"/>
            <w:gridSpan w:val="6"/>
            <w:tcBorders>
              <w:top w:val="nil"/>
              <w:left w:val="single" w:color="auto" w:sz="8" w:space="0"/>
              <w:bottom w:val="single" w:color="auto" w:sz="4" w:space="0"/>
              <w:right w:val="single" w:color="auto" w:sz="4" w:space="0"/>
            </w:tcBorders>
            <w:noWrap w:val="0"/>
            <w:vAlign w:val="center"/>
          </w:tcPr>
          <w:p w14:paraId="2195ECB4">
            <w:pPr>
              <w:numPr>
                <w:ilvl w:val="0"/>
                <w:numId w:val="0"/>
              </w:numPr>
              <w:spacing w:line="240" w:lineRule="auto"/>
              <w:ind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供方</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w:t>
            </w:r>
          </w:p>
        </w:tc>
        <w:tc>
          <w:tcPr>
            <w:tcW w:w="4697" w:type="dxa"/>
            <w:gridSpan w:val="5"/>
            <w:tcBorders>
              <w:top w:val="nil"/>
              <w:left w:val="nil"/>
              <w:bottom w:val="single" w:color="auto" w:sz="4" w:space="0"/>
              <w:right w:val="single" w:color="000000" w:sz="8" w:space="0"/>
            </w:tcBorders>
            <w:noWrap w:val="0"/>
            <w:vAlign w:val="center"/>
          </w:tcPr>
          <w:p w14:paraId="34F89E74">
            <w:pPr>
              <w:numPr>
                <w:ilvl w:val="0"/>
                <w:numId w:val="0"/>
              </w:numPr>
              <w:spacing w:line="240" w:lineRule="auto"/>
              <w:ind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需方经办人（</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签字）：</w:t>
            </w:r>
          </w:p>
        </w:tc>
      </w:tr>
      <w:tr w14:paraId="3E15C244">
        <w:tblPrEx>
          <w:tblCellMar>
            <w:top w:w="0" w:type="dxa"/>
            <w:left w:w="108" w:type="dxa"/>
            <w:bottom w:w="0" w:type="dxa"/>
            <w:right w:w="108" w:type="dxa"/>
          </w:tblCellMar>
        </w:tblPrEx>
        <w:trPr>
          <w:trHeight w:val="405" w:hRule="atLeast"/>
        </w:trPr>
        <w:tc>
          <w:tcPr>
            <w:tcW w:w="4384" w:type="dxa"/>
            <w:gridSpan w:val="6"/>
            <w:tcBorders>
              <w:top w:val="single" w:color="auto" w:sz="4" w:space="0"/>
              <w:left w:val="single" w:color="auto" w:sz="8" w:space="0"/>
              <w:bottom w:val="single" w:color="auto" w:sz="4" w:space="0"/>
              <w:right w:val="single" w:color="auto" w:sz="4" w:space="0"/>
            </w:tcBorders>
            <w:noWrap w:val="0"/>
            <w:vAlign w:val="center"/>
          </w:tcPr>
          <w:p w14:paraId="72F9D677">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c>
          <w:tcPr>
            <w:tcW w:w="4697" w:type="dxa"/>
            <w:gridSpan w:val="5"/>
            <w:tcBorders>
              <w:top w:val="single" w:color="auto" w:sz="4" w:space="0"/>
              <w:left w:val="nil"/>
              <w:bottom w:val="single" w:color="auto" w:sz="4" w:space="0"/>
              <w:right w:val="single" w:color="000000" w:sz="8" w:space="0"/>
            </w:tcBorders>
            <w:noWrap w:val="0"/>
            <w:vAlign w:val="center"/>
          </w:tcPr>
          <w:p w14:paraId="2A3C1144">
            <w:pPr>
              <w:numPr>
                <w:ilvl w:val="0"/>
                <w:numId w:val="0"/>
              </w:numPr>
              <w:spacing w:line="240" w:lineRule="auto"/>
              <w:ind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14:paraId="7E6A2313">
      <w:pPr>
        <w:tabs>
          <w:tab w:val="left" w:pos="0"/>
        </w:tabs>
        <w:spacing w:line="440" w:lineRule="exact"/>
        <w:jc w:val="left"/>
        <w:rPr>
          <w:rFonts w:hint="eastAsia" w:ascii="宋体" w:hAnsi="宋体" w:eastAsia="宋体" w:cs="宋体"/>
          <w:color w:val="auto"/>
          <w:sz w:val="24"/>
          <w:szCs w:val="24"/>
          <w:highlight w:val="none"/>
        </w:rPr>
      </w:pPr>
    </w:p>
    <w:p w14:paraId="217F32E1">
      <w:pPr>
        <w:tabs>
          <w:tab w:val="left" w:pos="0"/>
        </w:tabs>
        <w:spacing w:line="440" w:lineRule="exact"/>
        <w:jc w:val="left"/>
        <w:rPr>
          <w:rFonts w:hint="eastAsia" w:ascii="宋体" w:hAnsi="宋体" w:eastAsia="宋体" w:cs="宋体"/>
          <w:color w:val="auto"/>
          <w:sz w:val="24"/>
          <w:szCs w:val="24"/>
          <w:highlight w:val="none"/>
          <w:lang w:eastAsia="zh-CN"/>
        </w:rPr>
        <w:sectPr>
          <w:headerReference r:id="rId9" w:type="default"/>
          <w:pgSz w:w="11906" w:h="16838"/>
          <w:pgMar w:top="1134" w:right="1361" w:bottom="1134" w:left="1531" w:header="0" w:footer="851" w:gutter="0"/>
          <w:cols w:space="720" w:num="1"/>
          <w:docGrid w:type="linesAndChars" w:linePitch="287" w:charSpace="-4300"/>
        </w:sectPr>
      </w:pPr>
    </w:p>
    <w:p w14:paraId="74813667">
      <w:pPr>
        <w:tabs>
          <w:tab w:val="left" w:pos="0"/>
        </w:tabs>
        <w:spacing w:line="44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w:t>
      </w:r>
    </w:p>
    <w:p w14:paraId="11AAA6C5">
      <w:pPr>
        <w:tabs>
          <w:tab w:val="left" w:pos="0"/>
        </w:tabs>
        <w:spacing w:line="440" w:lineRule="exact"/>
        <w:jc w:val="left"/>
        <w:rPr>
          <w:rFonts w:hint="eastAsia" w:ascii="宋体" w:hAnsi="宋体" w:eastAsia="宋体" w:cs="宋体"/>
          <w:b/>
          <w:bCs/>
          <w:color w:val="auto"/>
          <w:sz w:val="32"/>
          <w:highlight w:val="none"/>
        </w:rPr>
      </w:pPr>
    </w:p>
    <w:p w14:paraId="5254F4B6">
      <w:pPr>
        <w:tabs>
          <w:tab w:val="left" w:pos="0"/>
        </w:tabs>
        <w:spacing w:line="440" w:lineRule="exact"/>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材料供方安全和环保调查函</w:t>
      </w:r>
    </w:p>
    <w:p w14:paraId="55E10C3C">
      <w:pPr>
        <w:tabs>
          <w:tab w:val="left" w:pos="0"/>
        </w:tabs>
        <w:spacing w:line="44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ab/>
      </w:r>
    </w:p>
    <w:p w14:paraId="68F4D419">
      <w:pPr>
        <w:tabs>
          <w:tab w:val="left" w:pos="0"/>
        </w:tabs>
        <w:spacing w:line="44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单位：</w:t>
      </w:r>
    </w:p>
    <w:p w14:paraId="6ED94910">
      <w:pPr>
        <w:tabs>
          <w:tab w:val="left" w:pos="540"/>
        </w:tabs>
        <w:spacing w:line="440" w:lineRule="exact"/>
        <w:ind w:right="368" w:rightChars="194"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已通过职业安全健康、环境管理体系认证，提出的职业安全健康方针是“以人为本、预控风险、遵章施工、持久安康”，环境方针是“关爱环保，绿色活动，持续改善，造福人类”。望贵单位予以协助，认真填写《材料供方安全和环保调查函》，填好后及时寄送我公司。</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2160"/>
        <w:gridCol w:w="1980"/>
        <w:gridCol w:w="2145"/>
      </w:tblGrid>
      <w:tr w14:paraId="4A9DC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1635" w:type="dxa"/>
            <w:vMerge w:val="restart"/>
            <w:noWrap w:val="0"/>
            <w:vAlign w:val="top"/>
          </w:tcPr>
          <w:p w14:paraId="441D0E1B">
            <w:pPr>
              <w:tabs>
                <w:tab w:val="left" w:pos="0"/>
              </w:tabs>
              <w:spacing w:line="440" w:lineRule="exact"/>
              <w:rPr>
                <w:rFonts w:hint="eastAsia" w:ascii="宋体" w:hAnsi="宋体" w:eastAsia="宋体" w:cs="宋体"/>
                <w:color w:val="auto"/>
                <w:sz w:val="24"/>
                <w:szCs w:val="24"/>
                <w:highlight w:val="none"/>
              </w:rPr>
            </w:pPr>
          </w:p>
          <w:p w14:paraId="2440C603">
            <w:pPr>
              <w:tabs>
                <w:tab w:val="left" w:pos="0"/>
              </w:tabs>
              <w:spacing w:line="440" w:lineRule="exact"/>
              <w:rPr>
                <w:rFonts w:hint="eastAsia" w:ascii="宋体" w:hAnsi="宋体" w:eastAsia="宋体" w:cs="宋体"/>
                <w:color w:val="auto"/>
                <w:sz w:val="24"/>
                <w:szCs w:val="24"/>
                <w:highlight w:val="none"/>
              </w:rPr>
            </w:pPr>
          </w:p>
          <w:p w14:paraId="6E768A12">
            <w:pPr>
              <w:tabs>
                <w:tab w:val="left" w:pos="0"/>
              </w:tabs>
              <w:spacing w:line="440" w:lineRule="exact"/>
              <w:ind w:left="19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货</w:t>
            </w:r>
          </w:p>
          <w:p w14:paraId="32342A25">
            <w:pPr>
              <w:tabs>
                <w:tab w:val="left" w:pos="0"/>
              </w:tabs>
              <w:spacing w:line="440" w:lineRule="exact"/>
              <w:ind w:left="19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p>
          <w:p w14:paraId="565BC606">
            <w:pPr>
              <w:tabs>
                <w:tab w:val="left" w:pos="0"/>
              </w:tabs>
              <w:spacing w:line="440" w:lineRule="exact"/>
              <w:rPr>
                <w:rFonts w:hint="eastAsia" w:ascii="宋体" w:hAnsi="宋体" w:eastAsia="宋体" w:cs="宋体"/>
                <w:color w:val="auto"/>
                <w:sz w:val="24"/>
                <w:szCs w:val="24"/>
                <w:highlight w:val="none"/>
              </w:rPr>
            </w:pPr>
          </w:p>
        </w:tc>
        <w:tc>
          <w:tcPr>
            <w:tcW w:w="2160" w:type="dxa"/>
            <w:noWrap w:val="0"/>
            <w:vAlign w:val="top"/>
          </w:tcPr>
          <w:p w14:paraId="25276B62">
            <w:pPr>
              <w:tabs>
                <w:tab w:val="left" w:pos="0"/>
              </w:tabs>
              <w:spacing w:line="44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p>
          <w:p w14:paraId="1CB99538">
            <w:pPr>
              <w:tabs>
                <w:tab w:val="left" w:pos="0"/>
              </w:tabs>
              <w:spacing w:line="440" w:lineRule="exact"/>
              <w:rPr>
                <w:rFonts w:hint="eastAsia" w:ascii="宋体" w:hAnsi="宋体" w:eastAsia="宋体" w:cs="宋体"/>
                <w:color w:val="auto"/>
                <w:sz w:val="24"/>
                <w:szCs w:val="24"/>
                <w:highlight w:val="none"/>
              </w:rPr>
            </w:pPr>
          </w:p>
        </w:tc>
        <w:tc>
          <w:tcPr>
            <w:tcW w:w="1980" w:type="dxa"/>
            <w:noWrap w:val="0"/>
            <w:vAlign w:val="top"/>
          </w:tcPr>
          <w:p w14:paraId="459DB1C6">
            <w:pPr>
              <w:widowControl/>
              <w:spacing w:line="440" w:lineRule="exact"/>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46904B59">
            <w:pPr>
              <w:tabs>
                <w:tab w:val="left" w:pos="0"/>
              </w:tabs>
              <w:spacing w:line="440" w:lineRule="exact"/>
              <w:rPr>
                <w:rFonts w:hint="eastAsia" w:ascii="宋体" w:hAnsi="宋体" w:eastAsia="宋体" w:cs="宋体"/>
                <w:color w:val="auto"/>
                <w:sz w:val="24"/>
                <w:szCs w:val="24"/>
                <w:highlight w:val="none"/>
              </w:rPr>
            </w:pPr>
          </w:p>
        </w:tc>
        <w:tc>
          <w:tcPr>
            <w:tcW w:w="2145" w:type="dxa"/>
            <w:noWrap w:val="0"/>
            <w:vAlign w:val="top"/>
          </w:tcPr>
          <w:p w14:paraId="349C8D02">
            <w:pPr>
              <w:widowControl/>
              <w:spacing w:line="440" w:lineRule="exact"/>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p>
          <w:p w14:paraId="322A2F94">
            <w:pPr>
              <w:tabs>
                <w:tab w:val="left" w:pos="0"/>
              </w:tabs>
              <w:spacing w:line="440" w:lineRule="exact"/>
              <w:rPr>
                <w:rFonts w:hint="eastAsia" w:ascii="宋体" w:hAnsi="宋体" w:eastAsia="宋体" w:cs="宋体"/>
                <w:color w:val="auto"/>
                <w:sz w:val="24"/>
                <w:szCs w:val="24"/>
                <w:highlight w:val="none"/>
              </w:rPr>
            </w:pPr>
          </w:p>
        </w:tc>
      </w:tr>
      <w:tr w14:paraId="32A187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635" w:type="dxa"/>
            <w:vMerge w:val="continue"/>
            <w:noWrap w:val="0"/>
            <w:vAlign w:val="top"/>
          </w:tcPr>
          <w:p w14:paraId="1BCFC1C9">
            <w:pPr>
              <w:tabs>
                <w:tab w:val="left" w:pos="0"/>
              </w:tabs>
              <w:spacing w:line="440" w:lineRule="exact"/>
              <w:rPr>
                <w:rFonts w:hint="eastAsia" w:ascii="宋体" w:hAnsi="宋体" w:eastAsia="宋体" w:cs="宋体"/>
                <w:color w:val="auto"/>
                <w:sz w:val="24"/>
                <w:szCs w:val="24"/>
                <w:highlight w:val="none"/>
              </w:rPr>
            </w:pPr>
          </w:p>
        </w:tc>
        <w:tc>
          <w:tcPr>
            <w:tcW w:w="2160" w:type="dxa"/>
            <w:noWrap w:val="0"/>
            <w:vAlign w:val="top"/>
          </w:tcPr>
          <w:p w14:paraId="0A859305">
            <w:pPr>
              <w:widowControl/>
              <w:spacing w:line="4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 xml:space="preserve">             </w:t>
            </w:r>
          </w:p>
          <w:p w14:paraId="0E1246BF">
            <w:pPr>
              <w:tabs>
                <w:tab w:val="left" w:pos="0"/>
              </w:tabs>
              <w:spacing w:line="440" w:lineRule="exact"/>
              <w:rPr>
                <w:rFonts w:hint="eastAsia" w:ascii="宋体" w:hAnsi="宋体" w:eastAsia="宋体" w:cs="宋体"/>
                <w:color w:val="auto"/>
                <w:sz w:val="24"/>
                <w:szCs w:val="24"/>
                <w:highlight w:val="none"/>
              </w:rPr>
            </w:pPr>
          </w:p>
        </w:tc>
        <w:tc>
          <w:tcPr>
            <w:tcW w:w="1980" w:type="dxa"/>
            <w:noWrap w:val="0"/>
            <w:vAlign w:val="top"/>
          </w:tcPr>
          <w:p w14:paraId="4F3779DC">
            <w:pPr>
              <w:widowControl/>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w:t>
            </w:r>
          </w:p>
          <w:p w14:paraId="20B26ED9">
            <w:pPr>
              <w:tabs>
                <w:tab w:val="left" w:pos="0"/>
              </w:tabs>
              <w:spacing w:line="440" w:lineRule="exact"/>
              <w:rPr>
                <w:rFonts w:hint="eastAsia" w:ascii="宋体" w:hAnsi="宋体" w:eastAsia="宋体" w:cs="宋体"/>
                <w:color w:val="auto"/>
                <w:sz w:val="24"/>
                <w:szCs w:val="24"/>
                <w:highlight w:val="none"/>
              </w:rPr>
            </w:pPr>
          </w:p>
        </w:tc>
        <w:tc>
          <w:tcPr>
            <w:tcW w:w="2145" w:type="dxa"/>
            <w:noWrap w:val="0"/>
            <w:vAlign w:val="top"/>
          </w:tcPr>
          <w:p w14:paraId="11AFFA65">
            <w:pPr>
              <w:widowControl/>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w:t>
            </w:r>
          </w:p>
          <w:p w14:paraId="7974C91D">
            <w:pPr>
              <w:tabs>
                <w:tab w:val="left" w:pos="0"/>
              </w:tabs>
              <w:spacing w:line="440" w:lineRule="exact"/>
              <w:rPr>
                <w:rFonts w:hint="eastAsia" w:ascii="宋体" w:hAnsi="宋体" w:eastAsia="宋体" w:cs="宋体"/>
                <w:color w:val="auto"/>
                <w:sz w:val="24"/>
                <w:szCs w:val="24"/>
                <w:highlight w:val="none"/>
              </w:rPr>
            </w:pPr>
          </w:p>
        </w:tc>
      </w:tr>
      <w:tr w14:paraId="3C7722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920" w:type="dxa"/>
            <w:gridSpan w:val="4"/>
            <w:noWrap w:val="0"/>
            <w:vAlign w:val="top"/>
          </w:tcPr>
          <w:p w14:paraId="223411FD">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1.贵单位是否通过ISO14001和OHS18001管理体系认证？  是□  否□</w:t>
            </w:r>
          </w:p>
          <w:p w14:paraId="5BC16E40">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已经贯标，但还未通过认证                           是□  否□</w:t>
            </w:r>
          </w:p>
          <w:p w14:paraId="6FF40BFB">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正在考虑进行                                       是□  否□</w:t>
            </w:r>
          </w:p>
          <w:p w14:paraId="1FF56948">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未考虑此问题                                       是□  否□</w:t>
            </w:r>
          </w:p>
        </w:tc>
      </w:tr>
      <w:tr w14:paraId="6670DC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920" w:type="dxa"/>
            <w:gridSpan w:val="4"/>
            <w:noWrap w:val="0"/>
            <w:vAlign w:val="top"/>
          </w:tcPr>
          <w:p w14:paraId="18069B65">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2.贵单位是否遵守国家的有关安全和环境管理的法律法规? 是□  否□</w:t>
            </w:r>
          </w:p>
        </w:tc>
      </w:tr>
      <w:tr w14:paraId="5915A8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7920" w:type="dxa"/>
            <w:gridSpan w:val="4"/>
            <w:noWrap w:val="0"/>
            <w:vAlign w:val="top"/>
          </w:tcPr>
          <w:p w14:paraId="22C33DA6">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3.所供材料出厂运输过程中是否有对汽车尾气、噪声、扬尘排放、化学物品滴漏的环保措施？                                  是□  否□</w:t>
            </w:r>
          </w:p>
          <w:p w14:paraId="49DD43EE">
            <w:pPr>
              <w:tabs>
                <w:tab w:val="left" w:pos="0"/>
              </w:tabs>
              <w:spacing w:line="440" w:lineRule="exact"/>
              <w:ind w:left="-190" w:leftChars="-100"/>
              <w:rPr>
                <w:rFonts w:hint="eastAsia" w:ascii="宋体" w:hAnsi="宋体" w:eastAsia="宋体" w:cs="宋体"/>
                <w:color w:val="auto"/>
                <w:sz w:val="24"/>
                <w:szCs w:val="24"/>
                <w:highlight w:val="none"/>
              </w:rPr>
            </w:pPr>
          </w:p>
        </w:tc>
      </w:tr>
      <w:tr w14:paraId="5178C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7920" w:type="dxa"/>
            <w:gridSpan w:val="4"/>
            <w:noWrap w:val="0"/>
            <w:vAlign w:val="top"/>
          </w:tcPr>
          <w:p w14:paraId="6F9362BB">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4.如果贵方是化工材料供应商请提供：产品检验报告；产品储运、使用及安全注意事项等说明书。</w:t>
            </w:r>
          </w:p>
        </w:tc>
      </w:tr>
      <w:tr w14:paraId="219B0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20" w:type="dxa"/>
            <w:gridSpan w:val="4"/>
            <w:noWrap w:val="0"/>
            <w:vAlign w:val="top"/>
          </w:tcPr>
          <w:p w14:paraId="4F848465">
            <w:pPr>
              <w:tabs>
                <w:tab w:val="left" w:pos="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5.贵方是否回收包装                                  是□  否□</w:t>
            </w:r>
          </w:p>
        </w:tc>
      </w:tr>
    </w:tbl>
    <w:p w14:paraId="65E3BA89">
      <w:pPr>
        <w:tabs>
          <w:tab w:val="left" w:pos="720"/>
        </w:tabs>
        <w:spacing w:line="44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single"/>
        </w:rPr>
        <w:t xml:space="preserve">                      </w:t>
      </w:r>
    </w:p>
    <w:p w14:paraId="1719DC69">
      <w:pPr>
        <w:tabs>
          <w:tab w:val="left" w:pos="72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439AD65A">
      <w:pPr>
        <w:tabs>
          <w:tab w:val="left" w:pos="720"/>
        </w:tabs>
        <w:spacing w:line="440" w:lineRule="exact"/>
        <w:ind w:firstLine="4620" w:firstLine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北京中铁建工物资有限公司</w:t>
      </w:r>
    </w:p>
    <w:p w14:paraId="1D6A35D3">
      <w:pPr>
        <w:tabs>
          <w:tab w:val="left" w:pos="720"/>
          <w:tab w:val="left" w:pos="2220"/>
        </w:tabs>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供货单位盖章：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ab/>
      </w:r>
    </w:p>
    <w:p w14:paraId="0CCF7BC2">
      <w:pPr>
        <w:tabs>
          <w:tab w:val="left" w:pos="0"/>
        </w:tabs>
        <w:spacing w:line="440" w:lineRule="exact"/>
        <w:ind w:left="95" w:leftChars="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627D6AD">
      <w:pPr>
        <w:rPr>
          <w:rFonts w:hint="eastAsia" w:ascii="宋体" w:hAnsi="宋体" w:eastAsia="宋体" w:cs="宋体"/>
          <w:color w:val="auto"/>
          <w:sz w:val="24"/>
          <w:szCs w:val="24"/>
          <w:highlight w:val="none"/>
        </w:rPr>
      </w:pPr>
    </w:p>
    <w:p w14:paraId="55490F7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p>
    <w:p w14:paraId="6AD93267">
      <w:pPr>
        <w:pStyle w:val="10"/>
        <w:rPr>
          <w:rFonts w:hint="eastAsia" w:ascii="宋体" w:hAnsi="宋体" w:eastAsia="宋体" w:cs="宋体"/>
          <w:color w:val="auto"/>
          <w:highlight w:val="none"/>
        </w:rPr>
      </w:pPr>
    </w:p>
    <w:p w14:paraId="6D1B8886">
      <w:pPr>
        <w:tabs>
          <w:tab w:val="left" w:pos="0"/>
        </w:tabs>
        <w:spacing w:line="3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重点施加影响单位安全和环境管理协议</w:t>
      </w:r>
    </w:p>
    <w:p w14:paraId="513BF296">
      <w:pPr>
        <w:tabs>
          <w:tab w:val="left" w:pos="0"/>
        </w:tabs>
        <w:spacing w:line="32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p>
    <w:p w14:paraId="5E0455C3">
      <w:pPr>
        <w:tabs>
          <w:tab w:val="left" w:pos="284"/>
        </w:tabs>
        <w:spacing w:line="320" w:lineRule="exact"/>
        <w:ind w:right="695" w:rightChars="3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甲方：北京中铁建工物资有限公司</w:t>
      </w:r>
    </w:p>
    <w:p w14:paraId="525C4DDA">
      <w:pPr>
        <w:tabs>
          <w:tab w:val="left" w:pos="284"/>
        </w:tabs>
        <w:spacing w:line="320" w:lineRule="exact"/>
        <w:ind w:right="695" w:rightChars="36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81829E3">
      <w:pPr>
        <w:tabs>
          <w:tab w:val="left" w:pos="284"/>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双方本着“精诚合作，共同致力于安全和环境保护”的原则，签订本协议。乙方必须遵守安全和环境管理的法律法规。</w:t>
      </w:r>
    </w:p>
    <w:p w14:paraId="3961A8B7">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乙方所供货物，在保证产品质量同时，还应确保材质符合安全和环境保护要求。</w:t>
      </w:r>
    </w:p>
    <w:p w14:paraId="5B0FC8C8">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乙方供货时（对安全和环境有重大影响的货物），材料的包装必须满足安全和环保要求，并在外包装上做标识，以便于库房验证和保管。</w:t>
      </w:r>
    </w:p>
    <w:p w14:paraId="15919525">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有毒有害物品、易燃易爆易泄漏物品及化学品，乙方需标明警告及警示标记，并在货物出厂前，对包装进行严格检查，以确保不发生破、损、滴、漏、跑、冒现象。否则，甲方仓库管理人员有权拒收或要求退换。</w:t>
      </w:r>
    </w:p>
    <w:p w14:paraId="4DB2AC52">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对包装材料，乙方应考虑在满足甲方要求前提下，尽可能使用可循环材料，以降低成本节省资源。乙方在下次送货时可将包装物回收，循环使用。</w:t>
      </w:r>
    </w:p>
    <w:p w14:paraId="42BDF408">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在货物运输过程中，粉尘、噪声及尾气排放必须满足国家及地方的有关规定。如有违规发生，责任由乙方负责，并按国家有关规定进行处理。</w:t>
      </w:r>
    </w:p>
    <w:p w14:paraId="52483CFD">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当乙方违反上述条款三次以下、一次以上时（含一次），甲方将向乙方提出警告；三次以上时（含三次），甲方将不再与乙方签订合同并将终止执行已签订的合同，责任由乙方负责。</w:t>
      </w:r>
    </w:p>
    <w:p w14:paraId="5228335E">
      <w:pPr>
        <w:tabs>
          <w:tab w:val="left" w:pos="284"/>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本协议自</w:t>
      </w:r>
      <w:r>
        <w:rPr>
          <w:rFonts w:hint="eastAsia" w:ascii="宋体" w:hAnsi="宋体" w:eastAsia="宋体" w:cs="宋体"/>
          <w:color w:val="auto"/>
          <w:sz w:val="24"/>
          <w:szCs w:val="24"/>
          <w:highlight w:val="none"/>
          <w:lang w:val="en-US" w:eastAsia="zh-CN"/>
        </w:rPr>
        <w:t>盖章</w:t>
      </w:r>
      <w:r>
        <w:rPr>
          <w:rFonts w:hint="eastAsia" w:ascii="宋体" w:hAnsi="宋体" w:eastAsia="宋体" w:cs="宋体"/>
          <w:color w:val="auto"/>
          <w:sz w:val="24"/>
          <w:szCs w:val="24"/>
          <w:highlight w:val="none"/>
        </w:rPr>
        <w:t>之日起生效，一式</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份，甲方二份，乙方</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份。</w:t>
      </w:r>
    </w:p>
    <w:p w14:paraId="3844AC17">
      <w:pPr>
        <w:tabs>
          <w:tab w:val="left" w:pos="284"/>
          <w:tab w:val="left" w:pos="3960"/>
        </w:tabs>
        <w:spacing w:line="440" w:lineRule="exact"/>
        <w:ind w:left="649" w:leftChars="342" w:right="38" w:rightChars="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71D87DCB">
      <w:pPr>
        <w:tabs>
          <w:tab w:val="left" w:pos="284"/>
          <w:tab w:val="left" w:pos="720"/>
        </w:tabs>
        <w:spacing w:line="440" w:lineRule="exact"/>
        <w:ind w:left="649" w:leftChars="342" w:right="38" w:rightChars="20"/>
        <w:rPr>
          <w:rFonts w:hint="eastAsia" w:ascii="宋体" w:hAnsi="宋体" w:eastAsia="宋体" w:cs="宋体"/>
          <w:color w:val="auto"/>
          <w:sz w:val="24"/>
          <w:szCs w:val="24"/>
          <w:highlight w:val="none"/>
        </w:rPr>
      </w:pPr>
    </w:p>
    <w:p w14:paraId="311EA371">
      <w:pPr>
        <w:tabs>
          <w:tab w:val="left" w:pos="284"/>
        </w:tabs>
        <w:spacing w:line="440" w:lineRule="exact"/>
        <w:ind w:left="95" w:leftChars="50" w:right="38" w:rightChars="2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甲  方：北京中铁建工物资有限公司</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乙 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B1CB8F1">
      <w:pPr>
        <w:tabs>
          <w:tab w:val="left" w:pos="284"/>
        </w:tabs>
        <w:spacing w:line="440" w:lineRule="exact"/>
        <w:ind w:right="38" w:rightChars="20"/>
        <w:rPr>
          <w:rFonts w:hint="eastAsia" w:ascii="宋体" w:hAnsi="宋体" w:eastAsia="宋体" w:cs="宋体"/>
          <w:color w:val="auto"/>
          <w:sz w:val="24"/>
          <w:szCs w:val="24"/>
          <w:highlight w:val="none"/>
        </w:rPr>
      </w:pPr>
    </w:p>
    <w:p w14:paraId="585F1034">
      <w:pPr>
        <w:tabs>
          <w:tab w:val="left" w:pos="284"/>
        </w:tabs>
        <w:spacing w:line="440" w:lineRule="exact"/>
        <w:ind w:left="95" w:leftChars="50" w:right="38" w:rightChars="2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甲方代表：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乙方代表：</w:t>
      </w:r>
      <w:r>
        <w:rPr>
          <w:rFonts w:hint="eastAsia" w:ascii="宋体" w:hAnsi="宋体" w:eastAsia="宋体" w:cs="宋体"/>
          <w:color w:val="auto"/>
          <w:sz w:val="24"/>
          <w:szCs w:val="24"/>
          <w:highlight w:val="none"/>
          <w:u w:val="single"/>
        </w:rPr>
        <w:t xml:space="preserve">                       </w:t>
      </w:r>
    </w:p>
    <w:p w14:paraId="0AE49529">
      <w:pPr>
        <w:tabs>
          <w:tab w:val="left" w:pos="284"/>
        </w:tabs>
        <w:spacing w:line="440" w:lineRule="exact"/>
        <w:ind w:right="38" w:rightChars="20"/>
        <w:rPr>
          <w:rFonts w:hint="eastAsia" w:ascii="宋体" w:hAnsi="宋体" w:eastAsia="宋体" w:cs="宋体"/>
          <w:color w:val="auto"/>
          <w:sz w:val="24"/>
          <w:szCs w:val="24"/>
          <w:highlight w:val="none"/>
        </w:rPr>
      </w:pPr>
    </w:p>
    <w:p w14:paraId="4ADE4F23">
      <w:pPr>
        <w:tabs>
          <w:tab w:val="left" w:pos="284"/>
        </w:tabs>
        <w:spacing w:line="440" w:lineRule="exact"/>
        <w:ind w:left="95" w:leftChars="50" w:right="38" w:rightChars="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i/>
          <w:iCs/>
          <w:color w:val="auto"/>
          <w:sz w:val="24"/>
          <w:szCs w:val="24"/>
          <w:highlight w:val="none"/>
        </w:rPr>
        <w:tab/>
      </w:r>
      <w:r>
        <w:rPr>
          <w:rFonts w:hint="eastAsia" w:ascii="宋体" w:hAnsi="宋体" w:eastAsia="宋体" w:cs="宋体"/>
          <w:i/>
          <w:iCs/>
          <w:color w:val="auto"/>
          <w:sz w:val="24"/>
          <w:szCs w:val="24"/>
          <w:highlight w:val="none"/>
        </w:rPr>
        <w:tab/>
      </w:r>
      <w:r>
        <w:rPr>
          <w:rFonts w:hint="eastAsia" w:ascii="宋体" w:hAnsi="宋体" w:eastAsia="宋体" w:cs="宋体"/>
          <w:i/>
          <w:iCs/>
          <w:color w:val="auto"/>
          <w:sz w:val="24"/>
          <w:szCs w:val="24"/>
          <w:highlight w:val="none"/>
        </w:rPr>
        <w:tab/>
      </w:r>
      <w:r>
        <w:rPr>
          <w:rFonts w:hint="eastAsia" w:ascii="宋体" w:hAnsi="宋体" w:eastAsia="宋体" w:cs="宋体"/>
          <w:i/>
          <w:iCs/>
          <w:color w:val="auto"/>
          <w:sz w:val="24"/>
          <w:szCs w:val="24"/>
          <w:highlight w:val="none"/>
        </w:rPr>
        <w:tab/>
      </w:r>
      <w:r>
        <w:rPr>
          <w:rFonts w:hint="eastAsia" w:ascii="宋体" w:hAnsi="宋体" w:eastAsia="宋体" w:cs="宋体"/>
          <w:i/>
          <w:iCs/>
          <w:color w:val="auto"/>
          <w:sz w:val="24"/>
          <w:szCs w:val="24"/>
          <w:highlight w:val="none"/>
        </w:rPr>
        <w:tab/>
      </w:r>
      <w:r>
        <w:rPr>
          <w:rFonts w:hint="eastAsia" w:ascii="宋体" w:hAnsi="宋体" w:eastAsia="宋体" w:cs="宋体"/>
          <w:i/>
          <w:iCs/>
          <w:color w:val="auto"/>
          <w:sz w:val="24"/>
          <w:szCs w:val="24"/>
          <w:highlight w:val="non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555262F">
      <w:pPr>
        <w:tabs>
          <w:tab w:val="left" w:pos="284"/>
        </w:tabs>
        <w:spacing w:line="440" w:lineRule="exact"/>
        <w:ind w:left="95" w:leftChars="50" w:right="38" w:rightChars="20"/>
        <w:rPr>
          <w:rFonts w:hint="eastAsia" w:ascii="宋体" w:hAnsi="宋体" w:eastAsia="宋体" w:cs="宋体"/>
          <w:color w:val="auto"/>
          <w:sz w:val="24"/>
          <w:szCs w:val="24"/>
          <w:highlight w:val="none"/>
        </w:rPr>
      </w:pPr>
    </w:p>
    <w:p w14:paraId="38ACD5F8">
      <w:pPr>
        <w:tabs>
          <w:tab w:val="left" w:pos="284"/>
        </w:tabs>
        <w:spacing w:line="440" w:lineRule="exact"/>
        <w:ind w:left="95" w:leftChars="50" w:right="38" w:rightChars="20"/>
        <w:rPr>
          <w:rFonts w:hint="eastAsia" w:ascii="宋体" w:hAnsi="宋体" w:eastAsia="宋体" w:cs="宋体"/>
          <w:color w:val="auto"/>
          <w:sz w:val="24"/>
          <w:szCs w:val="24"/>
          <w:highlight w:val="none"/>
        </w:rPr>
      </w:pPr>
    </w:p>
    <w:p w14:paraId="2F796669">
      <w:pPr>
        <w:tabs>
          <w:tab w:val="left" w:pos="284"/>
        </w:tabs>
        <w:spacing w:line="440" w:lineRule="exact"/>
        <w:ind w:left="95" w:leftChars="50" w:right="38" w:rightChars="20"/>
        <w:rPr>
          <w:rFonts w:hint="eastAsia" w:ascii="宋体" w:hAnsi="宋体" w:eastAsia="宋体" w:cs="宋体"/>
          <w:color w:val="auto"/>
          <w:sz w:val="24"/>
          <w:szCs w:val="24"/>
          <w:highlight w:val="none"/>
        </w:rPr>
      </w:pPr>
    </w:p>
    <w:p w14:paraId="096014C9">
      <w:pPr>
        <w:tabs>
          <w:tab w:val="left" w:pos="284"/>
        </w:tabs>
        <w:spacing w:line="440" w:lineRule="exact"/>
        <w:ind w:right="38" w:rightChars="20"/>
        <w:rPr>
          <w:rFonts w:hint="eastAsia" w:ascii="宋体" w:hAnsi="宋体" w:eastAsia="宋体" w:cs="宋体"/>
          <w:color w:val="auto"/>
          <w:sz w:val="24"/>
          <w:szCs w:val="24"/>
          <w:highlight w:val="none"/>
          <w:lang w:eastAsia="zh-CN"/>
        </w:rPr>
      </w:pPr>
    </w:p>
    <w:p w14:paraId="3D0CE4AE">
      <w:pPr>
        <w:tabs>
          <w:tab w:val="left" w:pos="284"/>
        </w:tabs>
        <w:spacing w:line="440" w:lineRule="exact"/>
        <w:ind w:left="95" w:leftChars="50" w:right="38" w:rightChars="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eastAsia="zh-CN"/>
        </w:rPr>
        <w:t>：</w:t>
      </w:r>
    </w:p>
    <w:p w14:paraId="6BF90EBB">
      <w:pPr>
        <w:pStyle w:val="10"/>
        <w:rPr>
          <w:rFonts w:hint="eastAsia" w:ascii="宋体" w:hAnsi="宋体" w:eastAsia="宋体" w:cs="宋体"/>
          <w:color w:val="auto"/>
          <w:highlight w:val="none"/>
        </w:rPr>
      </w:pPr>
    </w:p>
    <w:p w14:paraId="269A1FE1">
      <w:pPr>
        <w:tabs>
          <w:tab w:val="left" w:pos="0"/>
        </w:tabs>
        <w:spacing w:line="440" w:lineRule="exact"/>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诚信合规协议</w:t>
      </w:r>
    </w:p>
    <w:p w14:paraId="0EFC0BAE">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双方同意，本协议是双方订立的合同的重要组成部分，双方愿共同遵守。</w:t>
      </w:r>
    </w:p>
    <w:p w14:paraId="401292A2">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公务人员的定义</w:t>
      </w:r>
    </w:p>
    <w:p w14:paraId="149EFBD7">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本协议中的“公务人员”应包括但不限于其他单位的下列人员： </w:t>
      </w:r>
    </w:p>
    <w:p w14:paraId="1B81B742">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（一）政府的官员、雇员、代表以及代表政府或者经公共权力机构授权行事的人士;</w:t>
      </w:r>
    </w:p>
    <w:p w14:paraId="3E42CE00">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（二）国际组织的官员、雇员和代表;</w:t>
      </w:r>
    </w:p>
    <w:p w14:paraId="0E3F97A1">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（三）行使公共权力的政治组织的官员、雇员、代表，或皇室成员;</w:t>
      </w:r>
    </w:p>
    <w:p w14:paraId="158D7C58">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（四）政府直接或间接控制或施加决定性影响力的公共企业的官员。</w:t>
      </w:r>
    </w:p>
    <w:p w14:paraId="425006E8">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遵守反腐败法律</w:t>
      </w:r>
    </w:p>
    <w:p w14:paraId="659F8860">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在此声明、保证及承诺，本协议约定的活动或交易相关的乙方及乙方的关联公司、子公司、董事、高级管理人员、员工、代理、顾问、承包商、受托人、最终受益人和股东，及所有直接或间接代表乙方行事的个人及相关方，过去未曾、将来亦不会违反或致使甲方违反《中华人民共和国刑法》《联合国反腐败公约》《经济合作与发展组织关于打击国际商业交易中行贿外国公职人员行为的公约》及业务所在国的反腐败、反欺诈、反串谋及反不正当竞争法律、法规及规则等（合称“反腐败法律”）。乙方特此声明、保证及承诺：乙方及乙方关联公司、董事、高级管理人员、员工、代理、顾问、承包商、受托人、最终受益人和股东，及所有代表乙方行事的个人及相关方，过去未曾、将来亦不会发生以下行为：</w:t>
      </w:r>
    </w:p>
    <w:p w14:paraId="3DB14F11">
      <w:pPr>
        <w:pStyle w:val="11"/>
        <w:keepNext w:val="0"/>
        <w:keepLines w:val="0"/>
        <w:pageBreakBefore w:val="0"/>
        <w:widowControl w:val="0"/>
        <w:numPr>
          <w:ilvl w:val="0"/>
          <w:numId w:val="5"/>
        </w:numPr>
        <w:kinsoku/>
        <w:wordWrap/>
        <w:overflowPunct/>
        <w:topLinePunct w:val="0"/>
        <w:autoSpaceDE/>
        <w:autoSpaceDN/>
        <w:bidi w:val="0"/>
        <w:spacing w:line="240" w:lineRule="auto"/>
        <w:ind w:left="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为如下目的给予或承诺给予公务人员、个人或实体任何利益：</w:t>
      </w:r>
    </w:p>
    <w:p w14:paraId="54FCB374">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1.不当影响公务人员的行为或决定；</w:t>
      </w:r>
    </w:p>
    <w:p w14:paraId="74336CBF">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2.诱使公务人员违反其法定职责从而作为或不作为；</w:t>
      </w:r>
    </w:p>
    <w:p w14:paraId="74249BD6">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3.诱使公务人员直接通过其个人影响力，或通过其对国内外政府或政府部门的影响力，影响该政府或政府部门的行为或决定；</w:t>
      </w:r>
    </w:p>
    <w:p w14:paraId="795A465B">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4.协助乙方、甲方或甲方关联方不当获得或保持商业机会或使其获得不当优势。</w:t>
      </w:r>
    </w:p>
    <w:p w14:paraId="6E508AC6">
      <w:pPr>
        <w:pStyle w:val="11"/>
        <w:keepNext w:val="0"/>
        <w:keepLines w:val="0"/>
        <w:pageBreakBefore w:val="0"/>
        <w:widowControl w:val="0"/>
        <w:numPr>
          <w:ilvl w:val="0"/>
          <w:numId w:val="5"/>
        </w:numPr>
        <w:kinsoku/>
        <w:wordWrap/>
        <w:overflowPunct/>
        <w:topLinePunct w:val="0"/>
        <w:autoSpaceDE/>
        <w:autoSpaceDN/>
        <w:bidi w:val="0"/>
        <w:spacing w:line="240" w:lineRule="auto"/>
        <w:ind w:left="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为如下目的给予或承诺给予个人任何利益，无论其是否为公务人员：</w:t>
      </w:r>
    </w:p>
    <w:p w14:paraId="213ADF76">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1.意图使该个人不当履行其应尽的职责或义务；</w:t>
      </w:r>
    </w:p>
    <w:p w14:paraId="43542E36">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2.知悉或相信该个人接受利益即构成不当履行其应尽的职责或义务。</w:t>
      </w:r>
    </w:p>
    <w:p w14:paraId="5F3D4583">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持续义务</w:t>
      </w:r>
    </w:p>
    <w:p w14:paraId="6D48055E">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在此声明并保证：乙方和乙方的关联公司、董事、高级管理人员、员工、代理、顾问、承包商、受托人、最终受益人和股东，及所有代表乙方行事的个人及相关方，在本协议有效期内均会遵守反腐败法律的相关规定。</w:t>
      </w:r>
    </w:p>
    <w:p w14:paraId="04ED9B0B">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公务人员参与</w:t>
      </w:r>
    </w:p>
    <w:p w14:paraId="55465802">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已向甲方披露的情形外，乙方现有的高级管理人员、董事、最终受益人、股东（此处不包括上市公司的股东）及员工均非公务人员，其直系亲属亦均非公务人员；若发现上述高级管理人员、董事、最终受益人、股东或员工成为公务人员时，乙方应在合理时间内通知甲方。</w:t>
      </w:r>
    </w:p>
    <w:p w14:paraId="0D8EA7E5">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无私设资金</w:t>
      </w:r>
    </w:p>
    <w:p w14:paraId="42DFE061">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在本协议有效期内，乙方不会因为接受反腐败法律所禁止的支付，或为便利反腐败法律所禁止的其他行为，而设立或保有秘密或账外资金、账户或资产，无论其是否与本协议拟进行的交易相关。</w:t>
      </w:r>
    </w:p>
    <w:p w14:paraId="1487494D">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合规声明</w:t>
      </w:r>
    </w:p>
    <w:p w14:paraId="37CE4355">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本协议签署后，乙方应提供其遵守反腐败法律的年度合规证明。</w:t>
      </w:r>
    </w:p>
    <w:p w14:paraId="268F3A55">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赔偿</w:t>
      </w:r>
    </w:p>
    <w:p w14:paraId="3BCE325D">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乙方承诺：甲方及其代表、高级管理人员、董事、员工及股东不承担因乙方违反本协议约定的反腐败陈述、保证与承诺而造成的损失及后果，包括但不限于罚金、损失赔偿金或上述个人或相关方的经济损失。</w:t>
      </w:r>
    </w:p>
    <w:p w14:paraId="60BBC9FD">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终止权</w:t>
      </w:r>
    </w:p>
    <w:p w14:paraId="4CDAA2E5">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可靠消息来源，包括但不限于乙方陈述或有正当来源的新闻报道，如甲方认为乙方已实质性违反其在本附件中的遵守反腐败法律的相关陈述、保证与承诺，则视为乙方实质违反本协议。无论乙方是否因为违反反腐败法律而获罪或受到其他惩罚，甲方都有权终止本协议，且无须为此承担罚金或对乙方支付赔偿。</w:t>
      </w:r>
    </w:p>
    <w:p w14:paraId="096C0508">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审核权</w:t>
      </w:r>
    </w:p>
    <w:p w14:paraId="7E052CD4">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留所有必要记录以证明其遵守本协议的规定。乙方同意，经甲方事先通知，甲方或甲方指派的审计事务所可查阅或审核乙方与本协议履行相关的会计账簿和记录。甲方及其指派的审计事务所对前述会计账簿和记录的查阅或审核应严格限于本协议所述工作范围，且应仅为合规审核目的。本条所列审核费用应由甲方独立承担。</w:t>
      </w:r>
    </w:p>
    <w:p w14:paraId="1E16956B">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费用</w:t>
      </w:r>
    </w:p>
    <w:p w14:paraId="541A865C">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乙方履行本协议约定的义务所产生的成本及费用应完全由乙方承担，甲方事先同意承担的除外。</w:t>
      </w:r>
    </w:p>
    <w:p w14:paraId="663FF8D1">
      <w:pPr>
        <w:keepNext w:val="0"/>
        <w:keepLines w:val="0"/>
        <w:pageBreakBefore w:val="0"/>
        <w:widowControl w:val="0"/>
        <w:numPr>
          <w:ilvl w:val="0"/>
          <w:numId w:val="4"/>
        </w:numPr>
        <w:kinsoku/>
        <w:wordWrap/>
        <w:overflowPunct/>
        <w:topLinePunct w:val="0"/>
        <w:autoSpaceDE/>
        <w:autoSpaceDN/>
        <w:bidi w:val="0"/>
        <w:spacing w:line="240" w:lineRule="auto"/>
        <w:ind w:left="0" w:firstLine="44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调查通知</w:t>
      </w:r>
    </w:p>
    <w:p w14:paraId="28C2351B">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同意，如其发现其因与本协议相关的行为正被执法或监管机关、政府机构、国际组织、证券交易所或非政府组织调查，应立即通知甲方；此外，如乙方发现其因违反反腐败法律而正被执法或监管机关、政府机构、国际组织、证券交易所或非政府组织调查，无论被调查行为是否与本协议相关，应立即通知甲方。</w:t>
      </w:r>
    </w:p>
    <w:p w14:paraId="4148233D">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咨询举报邮箱：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"mailto:integritycompliance@crcc.cn" </w:instrText>
      </w:r>
      <w:r>
        <w:rPr>
          <w:rFonts w:hint="eastAsia" w:ascii="宋体" w:hAnsi="宋体" w:eastAsia="宋体" w:cs="宋体"/>
          <w:color w:val="auto"/>
          <w:sz w:val="24"/>
          <w:szCs w:val="24"/>
          <w:highlight w:val="none"/>
        </w:rPr>
        <w:fldChar w:fldCharType="separate"/>
      </w:r>
      <w:r>
        <w:rPr>
          <w:rStyle w:val="7"/>
          <w:rFonts w:hint="eastAsia" w:ascii="宋体" w:hAnsi="宋体" w:eastAsia="宋体" w:cs="宋体"/>
          <w:color w:val="auto"/>
          <w:sz w:val="24"/>
          <w:szCs w:val="24"/>
          <w:highlight w:val="none"/>
        </w:rPr>
        <w:t>integritycompliance@crcc.cn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p>
    <w:p w14:paraId="0D970CE5">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电话：010-52688535。</w:t>
      </w:r>
    </w:p>
    <w:p w14:paraId="1093B6B8">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lang w:eastAsia="zh-CN"/>
        </w:rPr>
      </w:pPr>
    </w:p>
    <w:p w14:paraId="22CF045D">
      <w:pPr>
        <w:keepNext w:val="0"/>
        <w:keepLines w:val="0"/>
        <w:pageBreakBefore w:val="0"/>
        <w:widowControl w:val="0"/>
        <w:kinsoku/>
        <w:wordWrap/>
        <w:overflowPunct/>
        <w:topLinePunct w:val="0"/>
        <w:autoSpaceDE/>
        <w:autoSpaceDN/>
        <w:bidi w:val="0"/>
        <w:spacing w:line="240" w:lineRule="exact"/>
        <w:ind w:firstLine="440" w:firstLineChars="200"/>
        <w:textAlignment w:val="auto"/>
        <w:rPr>
          <w:rStyle w:val="8"/>
          <w:rFonts w:hint="eastAsia" w:ascii="宋体" w:hAnsi="宋体" w:eastAsia="宋体" w:cs="宋体"/>
          <w:color w:val="auto"/>
          <w:sz w:val="24"/>
          <w:szCs w:val="24"/>
          <w:highlight w:val="none"/>
          <w:lang w:val="en-US" w:eastAsia="zh-CN"/>
        </w:rPr>
      </w:pPr>
      <w:r>
        <w:rPr>
          <w:rStyle w:val="8"/>
          <w:rFonts w:hint="eastAsia" w:ascii="宋体" w:hAnsi="宋体" w:eastAsia="宋体" w:cs="宋体"/>
          <w:color w:val="auto"/>
          <w:sz w:val="24"/>
          <w:szCs w:val="24"/>
          <w:highlight w:val="none"/>
          <w:u w:val="none"/>
          <w:lang w:eastAsia="zh-CN"/>
        </w:rPr>
        <w:t>甲方（盖章）：</w:t>
      </w:r>
      <w:r>
        <w:rPr>
          <w:rStyle w:val="8"/>
          <w:rFonts w:hint="eastAsia" w:ascii="宋体" w:hAnsi="宋体" w:eastAsia="宋体" w:cs="宋体"/>
          <w:color w:val="auto"/>
          <w:sz w:val="24"/>
          <w:szCs w:val="24"/>
          <w:highlight w:val="none"/>
          <w:lang w:eastAsia="zh-CN"/>
        </w:rPr>
        <w:t>北京中铁建工物资有限公司</w:t>
      </w:r>
      <w:r>
        <w:rPr>
          <w:rStyle w:val="8"/>
          <w:rFonts w:hint="eastAsia" w:ascii="宋体" w:hAnsi="宋体" w:eastAsia="宋体" w:cs="宋体"/>
          <w:color w:val="auto"/>
          <w:sz w:val="24"/>
          <w:szCs w:val="24"/>
          <w:highlight w:val="none"/>
          <w:lang w:val="en-US" w:eastAsia="zh-CN"/>
        </w:rPr>
        <w:t xml:space="preserve">     </w:t>
      </w:r>
    </w:p>
    <w:p w14:paraId="48FFABCF">
      <w:pPr>
        <w:keepNext w:val="0"/>
        <w:keepLines w:val="0"/>
        <w:pageBreakBefore w:val="0"/>
        <w:widowControl w:val="0"/>
        <w:kinsoku/>
        <w:wordWrap/>
        <w:overflowPunct/>
        <w:topLinePunct w:val="0"/>
        <w:autoSpaceDE/>
        <w:autoSpaceDN/>
        <w:bidi w:val="0"/>
        <w:spacing w:line="240" w:lineRule="exact"/>
        <w:ind w:firstLine="440" w:firstLineChars="200"/>
        <w:textAlignment w:val="auto"/>
        <w:rPr>
          <w:rStyle w:val="8"/>
          <w:rFonts w:hint="eastAsia" w:ascii="宋体" w:hAnsi="宋体" w:eastAsia="宋体" w:cs="宋体"/>
          <w:color w:val="auto"/>
          <w:sz w:val="24"/>
          <w:szCs w:val="24"/>
          <w:highlight w:val="none"/>
          <w:lang w:eastAsia="zh-CN"/>
        </w:rPr>
      </w:pPr>
    </w:p>
    <w:p w14:paraId="3A92183D">
      <w:pPr>
        <w:keepNext w:val="0"/>
        <w:keepLines w:val="0"/>
        <w:pageBreakBefore w:val="0"/>
        <w:widowControl w:val="0"/>
        <w:kinsoku/>
        <w:wordWrap/>
        <w:overflowPunct/>
        <w:topLinePunct w:val="0"/>
        <w:autoSpaceDE/>
        <w:autoSpaceDN/>
        <w:bidi w:val="0"/>
        <w:spacing w:line="240" w:lineRule="exact"/>
        <w:ind w:firstLine="440" w:firstLineChars="200"/>
        <w:textAlignment w:val="auto"/>
        <w:rPr>
          <w:rFonts w:hint="eastAsia" w:ascii="宋体" w:hAnsi="宋体" w:eastAsia="宋体" w:cs="宋体"/>
          <w:color w:val="auto"/>
          <w:sz w:val="24"/>
          <w:szCs w:val="24"/>
          <w:highlight w:val="none"/>
        </w:rPr>
      </w:pPr>
      <w:r>
        <w:rPr>
          <w:rStyle w:val="8"/>
          <w:rFonts w:hint="eastAsia" w:ascii="宋体" w:hAnsi="宋体" w:eastAsia="宋体" w:cs="宋体"/>
          <w:color w:val="auto"/>
          <w:sz w:val="24"/>
          <w:szCs w:val="24"/>
          <w:highlight w:val="none"/>
          <w:u w:val="none"/>
          <w:lang w:eastAsia="zh-CN"/>
        </w:rPr>
        <w:t>乙方（盖章）：</w:t>
      </w:r>
      <w:r>
        <w:rPr>
          <w:rStyle w:val="8"/>
          <w:rFonts w:hint="eastAsia" w:ascii="宋体" w:hAnsi="宋体" w:eastAsia="宋体" w:cs="宋体"/>
          <w:color w:val="auto"/>
          <w:sz w:val="24"/>
          <w:szCs w:val="24"/>
          <w:highlight w:val="none"/>
          <w:lang w:val="en-US" w:eastAsia="zh-CN"/>
        </w:rPr>
        <w:t xml:space="preserve">                              </w:t>
      </w:r>
    </w:p>
    <w:p w14:paraId="38DA0A2F">
      <w:pPr>
        <w:keepNext w:val="0"/>
        <w:keepLines w:val="0"/>
        <w:pageBreakBefore w:val="0"/>
        <w:widowControl w:val="0"/>
        <w:kinsoku/>
        <w:wordWrap/>
        <w:overflowPunct/>
        <w:topLinePunct w:val="0"/>
        <w:autoSpaceDE/>
        <w:autoSpaceDN/>
        <w:bidi w:val="0"/>
        <w:spacing w:line="240" w:lineRule="auto"/>
        <w:ind w:firstLine="440" w:firstLineChars="200"/>
        <w:textAlignment w:val="auto"/>
        <w:rPr>
          <w:rFonts w:hint="eastAsia" w:ascii="宋体" w:hAnsi="宋体" w:eastAsia="宋体" w:cs="宋体"/>
          <w:color w:val="auto"/>
          <w:sz w:val="24"/>
          <w:szCs w:val="24"/>
          <w:highlight w:val="none"/>
          <w:lang w:val="en-US" w:eastAsia="zh-CN"/>
        </w:rPr>
      </w:pPr>
    </w:p>
    <w:p w14:paraId="48393B9A">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p>
    <w:p w14:paraId="4A7018B2">
      <w:pPr>
        <w:tabs>
          <w:tab w:val="left" w:pos="284"/>
          <w:tab w:val="left" w:pos="425"/>
        </w:tabs>
        <w:spacing w:line="440" w:lineRule="exact"/>
        <w:ind w:right="38" w:rightChars="20" w:firstLine="440" w:firstLineChars="200"/>
        <w:rPr>
          <w:rFonts w:hint="eastAsia" w:ascii="宋体" w:hAnsi="宋体" w:eastAsia="宋体" w:cs="宋体"/>
          <w:color w:val="auto"/>
          <w:sz w:val="24"/>
          <w:szCs w:val="24"/>
          <w:highlight w:val="none"/>
        </w:rPr>
      </w:pPr>
    </w:p>
    <w:p w14:paraId="41FA8817">
      <w:pPr>
        <w:pStyle w:val="10"/>
        <w:rPr>
          <w:rFonts w:hint="eastAsia" w:ascii="宋体" w:hAnsi="宋体" w:eastAsia="宋体" w:cs="宋体"/>
          <w:color w:val="auto"/>
          <w:sz w:val="24"/>
          <w:szCs w:val="24"/>
          <w:highlight w:val="none"/>
        </w:rPr>
      </w:pPr>
    </w:p>
    <w:p w14:paraId="21F2C45A">
      <w:pPr>
        <w:pStyle w:val="10"/>
        <w:rPr>
          <w:rFonts w:hint="eastAsia" w:ascii="宋体" w:hAnsi="宋体" w:eastAsia="宋体" w:cs="宋体"/>
          <w:color w:val="auto"/>
          <w:sz w:val="24"/>
          <w:szCs w:val="24"/>
          <w:highlight w:val="none"/>
        </w:rPr>
      </w:pPr>
    </w:p>
    <w:p w14:paraId="6B3A56D0">
      <w:pPr>
        <w:pStyle w:val="10"/>
        <w:rPr>
          <w:rFonts w:hint="eastAsia" w:ascii="宋体" w:hAnsi="宋体" w:eastAsia="宋体" w:cs="宋体"/>
          <w:color w:val="auto"/>
          <w:sz w:val="24"/>
          <w:szCs w:val="24"/>
          <w:highlight w:val="none"/>
        </w:rPr>
      </w:pPr>
    </w:p>
    <w:p w14:paraId="19CA3AC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5AC0F0F">
      <w:pPr>
        <w:tabs>
          <w:tab w:val="left" w:pos="0"/>
        </w:tabs>
        <w:spacing w:line="440" w:lineRule="exact"/>
        <w:jc w:val="left"/>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lang w:eastAsia="zh-CN"/>
        </w:rPr>
        <w:t>附件</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w:t>
      </w:r>
    </w:p>
    <w:p w14:paraId="27B0CDDC">
      <w:pPr>
        <w:jc w:val="center"/>
        <w:rPr>
          <w:rFonts w:hint="eastAsia" w:ascii="宋体" w:hAnsi="宋体" w:eastAsia="宋体" w:cs="宋体"/>
          <w:color w:val="auto"/>
          <w:sz w:val="32"/>
          <w:szCs w:val="32"/>
          <w:highlight w:val="none"/>
          <w:vertAlign w:val="baseline"/>
          <w:lang w:val="en-US" w:eastAsia="zh-CN"/>
        </w:rPr>
      </w:pPr>
      <w:r>
        <w:rPr>
          <w:rFonts w:hint="eastAsia" w:ascii="宋体" w:hAnsi="宋体" w:eastAsia="宋体" w:cs="宋体"/>
          <w:b/>
          <w:bCs/>
          <w:color w:val="auto"/>
          <w:sz w:val="44"/>
          <w:szCs w:val="44"/>
          <w:highlight w:val="none"/>
          <w:vertAlign w:val="baseline"/>
          <w:lang w:val="en-US" w:eastAsia="zh-CN"/>
        </w:rPr>
        <w:t>综合授权书</w:t>
      </w:r>
    </w:p>
    <w:p w14:paraId="200B8C25">
      <w:pPr>
        <w:numPr>
          <w:ilvl w:val="0"/>
          <w:numId w:val="0"/>
        </w:numPr>
        <w:spacing w:line="480" w:lineRule="auto"/>
        <w:ind w:leftChars="0" w:firstLine="560" w:firstLineChars="200"/>
        <w:jc w:val="left"/>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北京中铁建工物资有限公司</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以下简称“本公司”</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 xml:space="preserve"> 就2024年签订的采购合同的</w:t>
      </w:r>
      <w:r>
        <w:rPr>
          <w:rFonts w:hint="eastAsia" w:ascii="宋体" w:hAnsi="宋体" w:eastAsia="宋体" w:cs="宋体"/>
          <w:strike w:val="0"/>
          <w:dstrike w:val="0"/>
          <w:color w:val="auto"/>
          <w:sz w:val="30"/>
          <w:szCs w:val="30"/>
          <w:highlight w:val="none"/>
          <w:u w:val="none"/>
          <w:lang w:val="en-US" w:eastAsia="zh-CN"/>
        </w:rPr>
        <w:t>履行</w:t>
      </w:r>
      <w:r>
        <w:rPr>
          <w:rFonts w:hint="eastAsia" w:ascii="宋体" w:hAnsi="宋体" w:eastAsia="宋体" w:cs="宋体"/>
          <w:color w:val="auto"/>
          <w:sz w:val="30"/>
          <w:szCs w:val="30"/>
          <w:highlight w:val="none"/>
          <w:u w:val="none"/>
          <w:lang w:val="en-US" w:eastAsia="zh-CN"/>
        </w:rPr>
        <w:t>，</w:t>
      </w:r>
      <w:r>
        <w:rPr>
          <w:rFonts w:hint="eastAsia" w:ascii="宋体" w:hAnsi="宋体" w:eastAsia="宋体" w:cs="宋体"/>
          <w:color w:val="auto"/>
          <w:sz w:val="30"/>
          <w:szCs w:val="30"/>
          <w:highlight w:val="none"/>
          <w:lang w:val="en-US" w:eastAsia="zh-CN"/>
        </w:rPr>
        <w:t>向合作单位__________________（以下简称“合作方”）签发综合授权书。</w:t>
      </w:r>
    </w:p>
    <w:p w14:paraId="023198EC">
      <w:pPr>
        <w:keepNext w:val="0"/>
        <w:keepLines w:val="0"/>
        <w:pageBreakBefore w:val="0"/>
        <w:widowControl w:val="0"/>
        <w:numPr>
          <w:ilvl w:val="0"/>
          <w:numId w:val="0"/>
        </w:numPr>
        <w:kinsoku/>
        <w:wordWrap/>
        <w:overflowPunct/>
        <w:topLinePunct w:val="0"/>
        <w:autoSpaceDE/>
        <w:autoSpaceDN/>
        <w:bidi w:val="0"/>
        <w:adjustRightInd/>
        <w:snapToGrid/>
        <w:spacing w:before="144" w:beforeLines="50" w:after="144" w:afterLines="50" w:line="480" w:lineRule="auto"/>
        <w:jc w:val="left"/>
        <w:textAlignment w:val="auto"/>
        <w:rPr>
          <w:rFonts w:hint="eastAsia" w:ascii="宋体" w:hAnsi="宋体" w:eastAsia="宋体" w:cs="宋体"/>
          <w:b/>
          <w:bCs/>
          <w:i w:val="0"/>
          <w:iCs w:val="0"/>
          <w:color w:val="auto"/>
          <w:sz w:val="32"/>
          <w:szCs w:val="32"/>
          <w:highlight w:val="none"/>
          <w:vertAlign w:val="baseline"/>
          <w:lang w:val="en-US" w:eastAsia="zh-CN"/>
        </w:rPr>
      </w:pPr>
      <w:r>
        <w:rPr>
          <w:rFonts w:hint="eastAsia" w:ascii="宋体" w:hAnsi="宋体" w:eastAsia="宋体" w:cs="宋体"/>
          <w:b/>
          <w:bCs/>
          <w:i w:val="0"/>
          <w:iCs w:val="0"/>
          <w:color w:val="auto"/>
          <w:sz w:val="30"/>
          <w:szCs w:val="30"/>
          <w:highlight w:val="none"/>
          <w:lang w:val="en-US" w:eastAsia="zh-CN"/>
        </w:rPr>
        <w:t>一、与本合同相关的各项权限如下：</w:t>
      </w:r>
    </w:p>
    <w:tbl>
      <w:tblPr>
        <w:tblStyle w:val="6"/>
        <w:tblW w:w="9148"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777"/>
        <w:gridCol w:w="2752"/>
        <w:gridCol w:w="4842"/>
      </w:tblGrid>
      <w:tr w14:paraId="08EC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77" w:type="dxa"/>
            <w:noWrap w:val="0"/>
            <w:vAlign w:val="center"/>
          </w:tcPr>
          <w:p w14:paraId="73F90180">
            <w:pPr>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授权区域</w:t>
            </w:r>
          </w:p>
        </w:tc>
        <w:tc>
          <w:tcPr>
            <w:tcW w:w="777" w:type="dxa"/>
            <w:noWrap w:val="0"/>
            <w:vAlign w:val="center"/>
          </w:tcPr>
          <w:p w14:paraId="76262380">
            <w:pPr>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序号</w:t>
            </w:r>
          </w:p>
        </w:tc>
        <w:tc>
          <w:tcPr>
            <w:tcW w:w="2752" w:type="dxa"/>
            <w:noWrap w:val="0"/>
            <w:vAlign w:val="center"/>
          </w:tcPr>
          <w:p w14:paraId="4ABFDC05">
            <w:pPr>
              <w:jc w:val="center"/>
              <w:rPr>
                <w:rFonts w:hint="eastAsia" w:ascii="宋体" w:hAnsi="宋体" w:eastAsia="宋体" w:cs="宋体"/>
                <w:b/>
                <w:bCs/>
                <w:color w:val="auto"/>
                <w:kern w:val="2"/>
                <w:sz w:val="24"/>
                <w:szCs w:val="24"/>
                <w:highlight w:val="none"/>
                <w:vertAlign w:val="baseline"/>
                <w:lang w:val="en-US" w:eastAsia="zh-CN" w:bidi="ar-SA"/>
              </w:rPr>
            </w:pPr>
            <w:r>
              <w:rPr>
                <w:rFonts w:hint="eastAsia" w:ascii="宋体" w:hAnsi="宋体" w:eastAsia="宋体" w:cs="宋体"/>
                <w:b/>
                <w:bCs/>
                <w:color w:val="auto"/>
                <w:sz w:val="24"/>
                <w:szCs w:val="24"/>
                <w:highlight w:val="none"/>
                <w:vertAlign w:val="baseline"/>
                <w:lang w:val="en-US" w:eastAsia="zh-CN"/>
              </w:rPr>
              <w:t>授权事项</w:t>
            </w:r>
          </w:p>
        </w:tc>
        <w:tc>
          <w:tcPr>
            <w:tcW w:w="4842" w:type="dxa"/>
            <w:noWrap w:val="0"/>
            <w:vAlign w:val="center"/>
          </w:tcPr>
          <w:p w14:paraId="3EF1D8AC">
            <w:pPr>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被授权人及联系方式</w:t>
            </w:r>
          </w:p>
          <w:p w14:paraId="62275106">
            <w:pPr>
              <w:jc w:val="center"/>
              <w:rPr>
                <w:rFonts w:hint="eastAsia" w:ascii="宋体" w:hAnsi="宋体" w:eastAsia="宋体" w:cs="宋体"/>
                <w:b/>
                <w:bCs/>
                <w:color w:val="auto"/>
                <w:kern w:val="2"/>
                <w:sz w:val="24"/>
                <w:szCs w:val="24"/>
                <w:highlight w:val="none"/>
                <w:vertAlign w:val="baseline"/>
                <w:lang w:val="en-US" w:eastAsia="zh-CN" w:bidi="ar-SA"/>
              </w:rPr>
            </w:pPr>
            <w:r>
              <w:rPr>
                <w:rFonts w:hint="eastAsia" w:ascii="宋体" w:hAnsi="宋体" w:eastAsia="宋体" w:cs="宋体"/>
                <w:b/>
                <w:bCs/>
                <w:color w:val="auto"/>
                <w:sz w:val="24"/>
                <w:szCs w:val="24"/>
                <w:highlight w:val="none"/>
                <w:vertAlign w:val="baseline"/>
                <w:lang w:val="en-US" w:eastAsia="zh-CN"/>
              </w:rPr>
              <w:t>（此处列岗位仅供参考、正式授权应为对应岗位的人名）</w:t>
            </w:r>
          </w:p>
        </w:tc>
      </w:tr>
      <w:tr w14:paraId="6F56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77" w:type="dxa"/>
            <w:vMerge w:val="restart"/>
            <w:noWrap w:val="0"/>
            <w:vAlign w:val="center"/>
          </w:tcPr>
          <w:p w14:paraId="015B468C">
            <w:pPr>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华南</w:t>
            </w:r>
          </w:p>
          <w:p w14:paraId="5A430E49">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区域</w:t>
            </w:r>
          </w:p>
        </w:tc>
        <w:tc>
          <w:tcPr>
            <w:tcW w:w="777" w:type="dxa"/>
            <w:noWrap w:val="0"/>
            <w:vAlign w:val="center"/>
          </w:tcPr>
          <w:p w14:paraId="2752519A">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2752" w:type="dxa"/>
            <w:noWrap w:val="0"/>
            <w:vAlign w:val="center"/>
          </w:tcPr>
          <w:p w14:paraId="4FBAAE56">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对合同、补充协议、变更协议、结算/结清协议进行磋商、拟定。</w:t>
            </w:r>
          </w:p>
        </w:tc>
        <w:tc>
          <w:tcPr>
            <w:tcW w:w="4842" w:type="dxa"/>
            <w:noWrap w:val="0"/>
            <w:vAlign w:val="center"/>
          </w:tcPr>
          <w:p w14:paraId="13868F99">
            <w:pPr>
              <w:jc w:val="left"/>
              <w:rPr>
                <w:rFonts w:hint="eastAsia" w:ascii="宋体" w:hAnsi="宋体" w:eastAsia="宋体" w:cs="宋体"/>
                <w:color w:val="auto"/>
                <w:sz w:val="24"/>
                <w:highlight w:val="none"/>
              </w:rPr>
            </w:pPr>
            <w:r>
              <w:rPr>
                <w:rFonts w:hint="eastAsia" w:ascii="仿宋_GB2312" w:eastAsia="仿宋_GB2312" w:cs="Times New Roman"/>
                <w:color w:val="auto"/>
                <w:sz w:val="24"/>
                <w:highlight w:val="none"/>
                <w:u w:val="single"/>
                <w:lang w:val="en-US" w:eastAsia="zh-CN"/>
              </w:rPr>
              <w:t>龚鑫</w:t>
            </w:r>
            <w:r>
              <w:rPr>
                <w:rFonts w:hint="eastAsia" w:ascii="仿宋_GB2312" w:eastAsia="仿宋_GB2312"/>
                <w:color w:val="auto"/>
                <w:sz w:val="24"/>
                <w:highlight w:val="none"/>
              </w:rPr>
              <w:t>（签字样本：</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u w:val="single"/>
                <w:lang w:val="en-US" w:eastAsia="zh-CN"/>
              </w:rPr>
              <w:t xml:space="preserve">    </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rPr>
              <w:t xml:space="preserve"> 、电话：</w:t>
            </w:r>
            <w:r>
              <w:rPr>
                <w:rFonts w:hint="eastAsia" w:ascii="仿宋_GB2312" w:eastAsia="仿宋_GB2312"/>
                <w:color w:val="auto"/>
                <w:sz w:val="24"/>
                <w:highlight w:val="none"/>
                <w:u w:val="single"/>
                <w:lang w:val="en-US" w:eastAsia="zh-CN"/>
              </w:rPr>
              <w:t>13247576785</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182744776</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13247576785</w:t>
            </w:r>
            <w:r>
              <w:rPr>
                <w:rFonts w:hint="eastAsia" w:ascii="仿宋_GB2312" w:eastAsia="仿宋_GB2312"/>
                <w:color w:val="auto"/>
                <w:sz w:val="24"/>
                <w:highlight w:val="none"/>
              </w:rPr>
              <w:t>）</w:t>
            </w:r>
            <w:r>
              <w:rPr>
                <w:rFonts w:hint="eastAsia" w:ascii="仿宋_GB2312" w:eastAsia="仿宋_GB2312"/>
                <w:color w:val="auto"/>
                <w:sz w:val="24"/>
                <w:highlight w:val="none"/>
                <w:lang w:val="en-US" w:eastAsia="zh-CN"/>
              </w:rPr>
              <w:t>+</w:t>
            </w:r>
            <w:r>
              <w:rPr>
                <w:rFonts w:hint="eastAsia" w:ascii="仿宋_GB2312" w:eastAsia="仿宋_GB2312" w:cs="Times New Roman"/>
                <w:color w:val="auto"/>
                <w:sz w:val="24"/>
                <w:highlight w:val="none"/>
                <w:u w:val="single"/>
                <w:lang w:val="en-US" w:eastAsia="zh-CN"/>
              </w:rPr>
              <w:t>梁贵浦</w:t>
            </w:r>
            <w:r>
              <w:rPr>
                <w:rFonts w:hint="eastAsia" w:ascii="仿宋_GB2312" w:eastAsia="仿宋_GB2312"/>
                <w:color w:val="auto"/>
                <w:sz w:val="24"/>
                <w:highlight w:val="none"/>
              </w:rPr>
              <w:t>（签字样本：</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u w:val="single"/>
                <w:lang w:val="en-US" w:eastAsia="zh-CN"/>
              </w:rPr>
              <w:t xml:space="preserve">    </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rPr>
              <w:t xml:space="preserve"> 、电话：</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1418400912</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rPr>
              <w:t>）</w:t>
            </w:r>
            <w:r>
              <w:rPr>
                <w:rFonts w:hint="eastAsia" w:ascii="仿宋_GB2312" w:eastAsia="仿宋_GB2312"/>
                <w:b/>
                <w:bCs/>
                <w:color w:val="auto"/>
                <w:sz w:val="24"/>
                <w:highlight w:val="none"/>
                <w:lang w:eastAsia="zh-CN"/>
              </w:rPr>
              <w:t>（</w:t>
            </w:r>
            <w:r>
              <w:rPr>
                <w:rFonts w:hint="eastAsia" w:ascii="仿宋_GB2312" w:eastAsia="仿宋_GB2312"/>
                <w:b/>
                <w:bCs/>
                <w:color w:val="auto"/>
                <w:sz w:val="24"/>
                <w:highlight w:val="none"/>
                <w:lang w:val="en-US" w:eastAsia="zh-CN"/>
              </w:rPr>
              <w:t>2人共同进行</w:t>
            </w:r>
            <w:r>
              <w:rPr>
                <w:rFonts w:hint="eastAsia" w:ascii="仿宋_GB2312" w:hAnsi="Times New Roman" w:eastAsia="仿宋_GB2312" w:cs="Times New Roman"/>
                <w:b/>
                <w:bCs/>
                <w:color w:val="auto"/>
                <w:sz w:val="24"/>
                <w:highlight w:val="none"/>
                <w:lang w:val="en-US" w:eastAsia="zh-CN"/>
              </w:rPr>
              <w:t>，以上文件必须加盖本公司公章或合同章方为有效）</w:t>
            </w:r>
          </w:p>
          <w:p w14:paraId="4B5347D1">
            <w:pPr>
              <w:jc w:val="left"/>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2人共同进行，以上文件必须加盖本公司公章或合同章方为有效）</w:t>
            </w:r>
          </w:p>
        </w:tc>
      </w:tr>
      <w:tr w14:paraId="553B6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777" w:type="dxa"/>
            <w:vMerge w:val="continue"/>
            <w:noWrap w:val="0"/>
            <w:vAlign w:val="center"/>
          </w:tcPr>
          <w:p w14:paraId="0D3FC605">
            <w:pPr>
              <w:jc w:val="center"/>
              <w:rPr>
                <w:rFonts w:hint="eastAsia" w:ascii="宋体" w:hAnsi="宋体" w:eastAsia="宋体" w:cs="宋体"/>
                <w:color w:val="auto"/>
                <w:sz w:val="24"/>
                <w:szCs w:val="24"/>
                <w:highlight w:val="none"/>
                <w:vertAlign w:val="baseline"/>
                <w:lang w:val="en-US" w:eastAsia="zh-CN"/>
              </w:rPr>
            </w:pPr>
          </w:p>
        </w:tc>
        <w:tc>
          <w:tcPr>
            <w:tcW w:w="777" w:type="dxa"/>
            <w:noWrap w:val="0"/>
            <w:vAlign w:val="center"/>
          </w:tcPr>
          <w:p w14:paraId="171BDA64">
            <w:pPr>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2</w:t>
            </w:r>
          </w:p>
        </w:tc>
        <w:tc>
          <w:tcPr>
            <w:tcW w:w="2752" w:type="dxa"/>
            <w:noWrap w:val="0"/>
            <w:vAlign w:val="center"/>
          </w:tcPr>
          <w:p w14:paraId="5E926CF0">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订货联系（包括货物的数量、规格、材质、价格、运输方式、发货时间）。</w:t>
            </w:r>
          </w:p>
        </w:tc>
        <w:tc>
          <w:tcPr>
            <w:tcW w:w="4842" w:type="dxa"/>
            <w:noWrap w:val="0"/>
            <w:vAlign w:val="center"/>
          </w:tcPr>
          <w:p w14:paraId="17EC1863">
            <w:pPr>
              <w:jc w:val="left"/>
              <w:rPr>
                <w:rFonts w:hint="eastAsia" w:ascii="宋体" w:hAnsi="宋体" w:eastAsia="宋体" w:cs="宋体"/>
                <w:color w:val="auto"/>
                <w:kern w:val="2"/>
                <w:sz w:val="24"/>
                <w:szCs w:val="24"/>
                <w:highlight w:val="none"/>
                <w:vertAlign w:val="baseline"/>
                <w:lang w:val="en-US" w:eastAsia="zh-CN" w:bidi="ar-SA"/>
              </w:rPr>
            </w:pPr>
            <w:r>
              <w:rPr>
                <w:rFonts w:hint="eastAsia" w:ascii="仿宋_GB2312" w:eastAsia="仿宋_GB2312" w:cs="Times New Roman"/>
                <w:color w:val="auto"/>
                <w:sz w:val="24"/>
                <w:highlight w:val="none"/>
                <w:u w:val="single"/>
                <w:lang w:val="en-US" w:eastAsia="zh-CN"/>
              </w:rPr>
              <w:t>龚鑫</w:t>
            </w:r>
            <w:r>
              <w:rPr>
                <w:rFonts w:hint="eastAsia" w:ascii="仿宋_GB2312" w:eastAsia="仿宋_GB2312"/>
                <w:color w:val="auto"/>
                <w:sz w:val="24"/>
                <w:highlight w:val="none"/>
              </w:rPr>
              <w:t>（签字样本：</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u w:val="single"/>
                <w:lang w:val="en-US" w:eastAsia="zh-CN"/>
              </w:rPr>
              <w:t xml:space="preserve">    </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rPr>
              <w:t xml:space="preserve"> 、电话：</w:t>
            </w:r>
            <w:r>
              <w:rPr>
                <w:rFonts w:hint="eastAsia" w:ascii="仿宋_GB2312" w:eastAsia="仿宋_GB2312"/>
                <w:color w:val="auto"/>
                <w:sz w:val="24"/>
                <w:highlight w:val="none"/>
                <w:u w:val="single"/>
                <w:lang w:val="en-US" w:eastAsia="zh-CN"/>
              </w:rPr>
              <w:t>13247576785</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182744776</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13247576785</w:t>
            </w:r>
            <w:r>
              <w:rPr>
                <w:rFonts w:hint="eastAsia" w:ascii="仿宋_GB2312" w:eastAsia="仿宋_GB2312"/>
                <w:color w:val="auto"/>
                <w:sz w:val="24"/>
                <w:highlight w:val="none"/>
              </w:rPr>
              <w:t>）</w:t>
            </w:r>
            <w:r>
              <w:rPr>
                <w:rFonts w:hint="eastAsia" w:ascii="仿宋_GB2312" w:eastAsia="仿宋_GB2312"/>
                <w:color w:val="auto"/>
                <w:sz w:val="24"/>
                <w:highlight w:val="none"/>
                <w:lang w:val="en-US" w:eastAsia="zh-CN"/>
              </w:rPr>
              <w:t>、</w:t>
            </w:r>
            <w:r>
              <w:rPr>
                <w:rFonts w:hint="eastAsia" w:ascii="仿宋_GB2312" w:eastAsia="仿宋_GB2312" w:cs="Times New Roman"/>
                <w:color w:val="auto"/>
                <w:sz w:val="24"/>
                <w:highlight w:val="none"/>
                <w:u w:val="single"/>
                <w:lang w:val="en-US" w:eastAsia="zh-CN"/>
              </w:rPr>
              <w:t>梁贵浦</w:t>
            </w:r>
            <w:r>
              <w:rPr>
                <w:rFonts w:hint="eastAsia" w:ascii="仿宋_GB2312" w:eastAsia="仿宋_GB2312"/>
                <w:color w:val="auto"/>
                <w:sz w:val="24"/>
                <w:highlight w:val="none"/>
              </w:rPr>
              <w:t>（签字样本：</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u w:val="single"/>
                <w:lang w:val="en-US" w:eastAsia="zh-CN"/>
              </w:rPr>
              <w:t xml:space="preserve">    </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rPr>
              <w:t xml:space="preserve"> 、电话：</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1418400912</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rPr>
              <w:t>）</w:t>
            </w:r>
          </w:p>
        </w:tc>
      </w:tr>
      <w:tr w14:paraId="0F0B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77" w:type="dxa"/>
            <w:vMerge w:val="continue"/>
            <w:noWrap w:val="0"/>
            <w:vAlign w:val="center"/>
          </w:tcPr>
          <w:p w14:paraId="738DF3EC">
            <w:pPr>
              <w:jc w:val="center"/>
              <w:rPr>
                <w:rFonts w:hint="eastAsia" w:ascii="宋体" w:hAnsi="宋体" w:eastAsia="宋体" w:cs="宋体"/>
                <w:color w:val="auto"/>
                <w:sz w:val="24"/>
                <w:szCs w:val="24"/>
                <w:highlight w:val="none"/>
                <w:vertAlign w:val="baseline"/>
                <w:lang w:val="en-US" w:eastAsia="zh-CN"/>
              </w:rPr>
            </w:pPr>
          </w:p>
        </w:tc>
        <w:tc>
          <w:tcPr>
            <w:tcW w:w="777" w:type="dxa"/>
            <w:noWrap w:val="0"/>
            <w:vAlign w:val="center"/>
          </w:tcPr>
          <w:p w14:paraId="0D6491B3">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2752" w:type="dxa"/>
            <w:noWrap w:val="0"/>
            <w:vAlign w:val="center"/>
          </w:tcPr>
          <w:p w14:paraId="51B2EC48">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签认《结算明细确认表》。</w:t>
            </w:r>
          </w:p>
          <w:p w14:paraId="78990D17">
            <w:pPr>
              <w:jc w:val="left"/>
              <w:rPr>
                <w:rFonts w:hint="eastAsia" w:ascii="宋体" w:hAnsi="宋体" w:eastAsia="宋体" w:cs="宋体"/>
                <w:color w:val="auto"/>
                <w:sz w:val="24"/>
                <w:szCs w:val="24"/>
                <w:highlight w:val="none"/>
                <w:vertAlign w:val="baseline"/>
                <w:lang w:val="en-US" w:eastAsia="zh-CN"/>
              </w:rPr>
            </w:pPr>
          </w:p>
        </w:tc>
        <w:tc>
          <w:tcPr>
            <w:tcW w:w="4842" w:type="dxa"/>
            <w:noWrap w:val="0"/>
            <w:vAlign w:val="center"/>
          </w:tcPr>
          <w:p w14:paraId="061F5D21">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b/>
                <w:bCs/>
                <w:color w:val="auto"/>
                <w:sz w:val="24"/>
                <w:szCs w:val="24"/>
                <w:highlight w:val="none"/>
                <w:u w:val="none"/>
                <w:vertAlign w:val="baseline"/>
                <w:lang w:val="en-US" w:eastAsia="zh-CN"/>
              </w:rPr>
              <w:t>该文件必须由</w:t>
            </w:r>
            <w:r>
              <w:rPr>
                <w:rFonts w:hint="eastAsia" w:ascii="仿宋_GB2312" w:eastAsia="仿宋_GB2312" w:cs="Times New Roman"/>
                <w:color w:val="auto"/>
                <w:sz w:val="24"/>
                <w:highlight w:val="none"/>
                <w:u w:val="single"/>
                <w:lang w:val="en-US" w:eastAsia="zh-CN"/>
              </w:rPr>
              <w:t>张英（签字样本：          、电话：18170058991、QQ：1152104362、微信：18170058991）</w:t>
            </w:r>
            <w:r>
              <w:rPr>
                <w:rFonts w:hint="eastAsia"/>
                <w:b w:val="0"/>
                <w:bCs w:val="0"/>
                <w:color w:val="auto"/>
                <w:sz w:val="24"/>
                <w:szCs w:val="24"/>
                <w:highlight w:val="none"/>
                <w:u w:val="none"/>
                <w:vertAlign w:val="baseline"/>
                <w:lang w:val="en-US" w:eastAsia="zh-CN"/>
              </w:rPr>
              <w:t>和</w:t>
            </w:r>
            <w:r>
              <w:rPr>
                <w:rFonts w:hint="eastAsia" w:ascii="仿宋_GB2312" w:eastAsia="仿宋_GB2312" w:cs="Times New Roman"/>
                <w:color w:val="auto"/>
                <w:sz w:val="24"/>
                <w:highlight w:val="none"/>
                <w:u w:val="single"/>
                <w:lang w:val="en-US" w:eastAsia="zh-CN"/>
              </w:rPr>
              <w:t>梁贵浦</w:t>
            </w:r>
            <w:r>
              <w:rPr>
                <w:rFonts w:hint="eastAsia" w:ascii="仿宋_GB2312" w:eastAsia="仿宋_GB2312"/>
                <w:color w:val="auto"/>
                <w:sz w:val="24"/>
                <w:highlight w:val="none"/>
              </w:rPr>
              <w:t>（签字样本：</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u w:val="single"/>
                <w:lang w:val="en-US" w:eastAsia="zh-CN"/>
              </w:rPr>
              <w:t xml:space="preserve">    </w:t>
            </w:r>
            <w:r>
              <w:rPr>
                <w:rFonts w:hint="eastAsia" w:ascii="仿宋_GB2312" w:eastAsia="仿宋_GB2312"/>
                <w:color w:val="auto"/>
                <w:sz w:val="24"/>
                <w:highlight w:val="none"/>
                <w:u w:val="single"/>
              </w:rPr>
              <w:t xml:space="preserve"> </w:t>
            </w:r>
            <w:r>
              <w:rPr>
                <w:rFonts w:hint="eastAsia" w:ascii="仿宋_GB2312" w:eastAsia="仿宋_GB2312"/>
                <w:color w:val="auto"/>
                <w:sz w:val="24"/>
                <w:highlight w:val="none"/>
              </w:rPr>
              <w:t xml:space="preserve"> 、电话：</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1418400912</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15622902624</w:t>
            </w:r>
            <w:r>
              <w:rPr>
                <w:rFonts w:hint="eastAsia" w:ascii="仿宋_GB2312" w:eastAsia="仿宋_GB2312"/>
                <w:color w:val="auto"/>
                <w:sz w:val="24"/>
                <w:highlight w:val="none"/>
              </w:rPr>
              <w:t>）</w:t>
            </w:r>
            <w:r>
              <w:rPr>
                <w:rFonts w:hint="eastAsia" w:ascii="宋体" w:hAnsi="宋体" w:eastAsia="宋体" w:cs="宋体"/>
                <w:b/>
                <w:bCs/>
                <w:color w:val="auto"/>
                <w:sz w:val="24"/>
                <w:highlight w:val="none"/>
                <w:lang w:val="en-US" w:eastAsia="zh-CN"/>
              </w:rPr>
              <w:t>共同签署方为有效。</w:t>
            </w:r>
          </w:p>
        </w:tc>
      </w:tr>
      <w:tr w14:paraId="44C6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77" w:type="dxa"/>
            <w:vMerge w:val="continue"/>
            <w:noWrap w:val="0"/>
            <w:vAlign w:val="center"/>
          </w:tcPr>
          <w:p w14:paraId="70372B35">
            <w:pPr>
              <w:jc w:val="center"/>
              <w:rPr>
                <w:rFonts w:hint="eastAsia" w:ascii="宋体" w:hAnsi="宋体" w:eastAsia="宋体" w:cs="宋体"/>
                <w:color w:val="auto"/>
                <w:sz w:val="24"/>
                <w:szCs w:val="24"/>
                <w:highlight w:val="none"/>
                <w:vertAlign w:val="baseline"/>
                <w:lang w:val="en-US" w:eastAsia="zh-CN"/>
              </w:rPr>
            </w:pPr>
          </w:p>
        </w:tc>
        <w:tc>
          <w:tcPr>
            <w:tcW w:w="777" w:type="dxa"/>
            <w:noWrap w:val="0"/>
            <w:vAlign w:val="center"/>
          </w:tcPr>
          <w:p w14:paraId="13AE7B90">
            <w:pPr>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4</w:t>
            </w:r>
          </w:p>
        </w:tc>
        <w:tc>
          <w:tcPr>
            <w:tcW w:w="2752" w:type="dxa"/>
            <w:noWrap w:val="0"/>
            <w:vAlign w:val="center"/>
          </w:tcPr>
          <w:p w14:paraId="0E034744">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发送、接收并核对财务对账单、询证函。</w:t>
            </w:r>
          </w:p>
        </w:tc>
        <w:tc>
          <w:tcPr>
            <w:tcW w:w="4842" w:type="dxa"/>
            <w:noWrap w:val="0"/>
            <w:vAlign w:val="center"/>
          </w:tcPr>
          <w:p w14:paraId="730CB879">
            <w:pPr>
              <w:jc w:val="left"/>
              <w:rPr>
                <w:rFonts w:hint="eastAsia" w:ascii="宋体" w:hAnsi="宋体" w:eastAsia="宋体" w:cs="宋体"/>
                <w:color w:val="auto"/>
                <w:sz w:val="24"/>
                <w:highlight w:val="none"/>
                <w:lang w:val="en-US" w:eastAsia="zh-CN"/>
              </w:rPr>
            </w:pPr>
            <w:r>
              <w:rPr>
                <w:rFonts w:hint="eastAsia"/>
                <w:color w:val="FF0000"/>
                <w:sz w:val="24"/>
                <w:szCs w:val="24"/>
                <w:highlight w:val="none"/>
                <w:u w:val="single"/>
                <w:vertAlign w:val="baseline"/>
                <w:lang w:val="en-US" w:eastAsia="zh-CN"/>
              </w:rPr>
              <w:t>罗宇堃</w:t>
            </w:r>
            <w:r>
              <w:rPr>
                <w:rFonts w:hint="eastAsia" w:ascii="仿宋_GB2312" w:eastAsia="仿宋_GB2312"/>
                <w:color w:val="auto"/>
                <w:sz w:val="24"/>
                <w:highlight w:val="none"/>
              </w:rPr>
              <w:t>（电话：</w:t>
            </w:r>
            <w:r>
              <w:rPr>
                <w:rFonts w:hint="eastAsia" w:ascii="仿宋_GB2312" w:eastAsia="仿宋_GB2312"/>
                <w:color w:val="auto"/>
                <w:sz w:val="24"/>
                <w:highlight w:val="none"/>
                <w:u w:val="single"/>
                <w:lang w:val="en-US" w:eastAsia="zh-CN"/>
              </w:rPr>
              <w:t>13341171029</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QQ</w:t>
            </w:r>
            <w:r>
              <w:rPr>
                <w:rFonts w:hint="eastAsia" w:ascii="仿宋_GB2312" w:eastAsia="仿宋_GB2312"/>
                <w:color w:val="auto"/>
                <w:sz w:val="24"/>
                <w:highlight w:val="none"/>
              </w:rPr>
              <w:t>：</w:t>
            </w:r>
            <w:r>
              <w:rPr>
                <w:rFonts w:hint="eastAsia" w:ascii="仿宋_GB2312" w:eastAsia="仿宋_GB2312"/>
                <w:color w:val="auto"/>
                <w:sz w:val="24"/>
                <w:highlight w:val="none"/>
                <w:u w:val="single"/>
              </w:rPr>
              <w:t>841571885</w:t>
            </w:r>
            <w:r>
              <w:rPr>
                <w:rFonts w:hint="eastAsia" w:ascii="仿宋_GB2312" w:eastAsia="仿宋_GB2312"/>
                <w:color w:val="auto"/>
                <w:sz w:val="24"/>
                <w:highlight w:val="none"/>
                <w:u w:val="none"/>
                <w:lang w:eastAsia="zh-CN"/>
              </w:rPr>
              <w:t>、</w:t>
            </w:r>
            <w:r>
              <w:rPr>
                <w:rFonts w:hint="eastAsia" w:ascii="仿宋_GB2312" w:eastAsia="仿宋_GB2312"/>
                <w:color w:val="auto"/>
                <w:sz w:val="24"/>
                <w:highlight w:val="none"/>
                <w:lang w:val="en-US" w:eastAsia="zh-CN"/>
              </w:rPr>
              <w:t>微信</w:t>
            </w:r>
            <w:r>
              <w:rPr>
                <w:rFonts w:hint="eastAsia" w:ascii="仿宋_GB2312" w:eastAsia="仿宋_GB2312"/>
                <w:color w:val="auto"/>
                <w:sz w:val="24"/>
                <w:highlight w:val="none"/>
              </w:rPr>
              <w:t>：</w:t>
            </w:r>
            <w:r>
              <w:rPr>
                <w:rFonts w:hint="eastAsia" w:ascii="仿宋_GB2312" w:eastAsia="仿宋_GB2312"/>
                <w:color w:val="auto"/>
                <w:sz w:val="24"/>
                <w:highlight w:val="none"/>
                <w:u w:val="single"/>
                <w:lang w:val="en-US" w:eastAsia="zh-CN"/>
              </w:rPr>
              <w:t>13341171029</w:t>
            </w:r>
            <w:r>
              <w:rPr>
                <w:rFonts w:hint="eastAsia" w:ascii="仿宋_GB2312" w:eastAsia="仿宋_GB2312"/>
                <w:color w:val="auto"/>
                <w:sz w:val="24"/>
                <w:highlight w:val="none"/>
              </w:rPr>
              <w:t>）</w:t>
            </w:r>
            <w:r>
              <w:rPr>
                <w:rFonts w:hint="eastAsia" w:ascii="宋体" w:hAnsi="宋体" w:eastAsia="宋体" w:cs="宋体"/>
                <w:b/>
                <w:bCs/>
                <w:color w:val="auto"/>
                <w:sz w:val="24"/>
                <w:highlight w:val="none"/>
                <w:lang w:val="en-US" w:eastAsia="zh-CN"/>
              </w:rPr>
              <w:t>（以上文件必须加盖本公司财务章方为有效）</w:t>
            </w:r>
          </w:p>
        </w:tc>
      </w:tr>
    </w:tbl>
    <w:p w14:paraId="4CD0F432">
      <w:pPr>
        <w:keepNext w:val="0"/>
        <w:keepLines w:val="0"/>
        <w:pageBreakBefore w:val="0"/>
        <w:widowControl w:val="0"/>
        <w:kinsoku/>
        <w:wordWrap/>
        <w:overflowPunct/>
        <w:topLinePunct w:val="0"/>
        <w:autoSpaceDE/>
        <w:autoSpaceDN/>
        <w:bidi w:val="0"/>
        <w:adjustRightInd/>
        <w:snapToGrid/>
        <w:spacing w:before="144" w:beforeLines="50" w:after="144" w:afterLines="50" w:line="360" w:lineRule="auto"/>
        <w:jc w:val="lef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二、本公司禁止任何个人以任何名义进行如下事项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8639"/>
      </w:tblGrid>
      <w:tr w14:paraId="3A7A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230" w:type="dxa"/>
            <w:gridSpan w:val="2"/>
            <w:noWrap w:val="0"/>
            <w:vAlign w:val="center"/>
          </w:tcPr>
          <w:p w14:paraId="4BEC7A28">
            <w:pPr>
              <w:spacing w:line="360" w:lineRule="auto"/>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禁止事项</w:t>
            </w:r>
          </w:p>
        </w:tc>
      </w:tr>
      <w:tr w14:paraId="54DA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vAlign w:val="top"/>
          </w:tcPr>
          <w:p w14:paraId="37A58187">
            <w:pPr>
              <w:spacing w:line="360" w:lineRule="auto"/>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8562" w:type="dxa"/>
            <w:noWrap w:val="0"/>
            <w:vAlign w:val="center"/>
          </w:tcPr>
          <w:p w14:paraId="2D03C3F1">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禁止对外签署合同及签署补充、变更、结算协议</w:t>
            </w:r>
          </w:p>
        </w:tc>
      </w:tr>
      <w:tr w14:paraId="5E4CA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vAlign w:val="top"/>
          </w:tcPr>
          <w:p w14:paraId="6C4714A2">
            <w:pPr>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8562" w:type="dxa"/>
            <w:noWrap w:val="0"/>
            <w:vAlign w:val="center"/>
          </w:tcPr>
          <w:p w14:paraId="2A2F815A">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禁止采用采购订单之外的其他方式进行订货</w:t>
            </w:r>
          </w:p>
        </w:tc>
      </w:tr>
      <w:tr w14:paraId="2A3E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vAlign w:val="top"/>
          </w:tcPr>
          <w:p w14:paraId="69F371CE">
            <w:pPr>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8562" w:type="dxa"/>
            <w:noWrap w:val="0"/>
            <w:vAlign w:val="center"/>
          </w:tcPr>
          <w:p w14:paraId="14E445B3">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禁止以个人名义收、付款</w:t>
            </w:r>
          </w:p>
        </w:tc>
      </w:tr>
      <w:tr w14:paraId="11BD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vAlign w:val="top"/>
          </w:tcPr>
          <w:p w14:paraId="77B53C48">
            <w:pPr>
              <w:spacing w:line="36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4</w:t>
            </w:r>
          </w:p>
        </w:tc>
        <w:tc>
          <w:tcPr>
            <w:tcW w:w="8562" w:type="dxa"/>
            <w:noWrap w:val="0"/>
            <w:vAlign w:val="center"/>
          </w:tcPr>
          <w:p w14:paraId="4AB9D97D">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禁止签署财务询证函、财务对账单、</w:t>
            </w:r>
            <w:r>
              <w:rPr>
                <w:rFonts w:hint="eastAsia" w:ascii="宋体" w:hAnsi="宋体" w:eastAsia="宋体" w:cs="宋体"/>
                <w:color w:val="auto"/>
                <w:sz w:val="24"/>
                <w:szCs w:val="24"/>
                <w:highlight w:val="none"/>
                <w:lang w:val="en-US" w:eastAsia="zh-CN"/>
              </w:rPr>
              <w:t>结算明细确认表</w:t>
            </w:r>
            <w:r>
              <w:rPr>
                <w:rFonts w:hint="eastAsia" w:ascii="宋体" w:hAnsi="宋体" w:eastAsia="宋体" w:cs="宋体"/>
                <w:color w:val="auto"/>
                <w:sz w:val="24"/>
                <w:szCs w:val="24"/>
                <w:highlight w:val="none"/>
                <w:vertAlign w:val="baseline"/>
                <w:lang w:val="en-US" w:eastAsia="zh-CN"/>
              </w:rPr>
              <w:t>等结算类文件</w:t>
            </w:r>
          </w:p>
        </w:tc>
      </w:tr>
      <w:tr w14:paraId="743F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top"/>
          </w:tcPr>
          <w:p w14:paraId="466209B8">
            <w:pPr>
              <w:spacing w:line="36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5</w:t>
            </w:r>
          </w:p>
        </w:tc>
        <w:tc>
          <w:tcPr>
            <w:tcW w:w="0" w:type="auto"/>
            <w:noWrap w:val="0"/>
            <w:vAlign w:val="center"/>
          </w:tcPr>
          <w:p w14:paraId="63B140DB">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禁止擅自变更、增加被授权人</w:t>
            </w:r>
          </w:p>
        </w:tc>
      </w:tr>
      <w:tr w14:paraId="5200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top"/>
          </w:tcPr>
          <w:p w14:paraId="30C4ED95">
            <w:pPr>
              <w:spacing w:line="36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6</w:t>
            </w:r>
          </w:p>
        </w:tc>
        <w:tc>
          <w:tcPr>
            <w:tcW w:w="0" w:type="auto"/>
            <w:noWrap w:val="0"/>
            <w:vAlign w:val="center"/>
          </w:tcPr>
          <w:p w14:paraId="742FD77C">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禁止转委托</w:t>
            </w:r>
          </w:p>
        </w:tc>
      </w:tr>
      <w:tr w14:paraId="52DC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3E76EE48">
            <w:pPr>
              <w:spacing w:line="36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2"/>
                <w:sz w:val="24"/>
                <w:szCs w:val="24"/>
                <w:highlight w:val="none"/>
                <w:vertAlign w:val="baseline"/>
                <w:lang w:val="en-US" w:eastAsia="zh-CN" w:bidi="ar-SA"/>
              </w:rPr>
              <w:t>7</w:t>
            </w:r>
          </w:p>
        </w:tc>
        <w:tc>
          <w:tcPr>
            <w:tcW w:w="0" w:type="auto"/>
            <w:noWrap w:val="0"/>
            <w:vAlign w:val="center"/>
          </w:tcPr>
          <w:p w14:paraId="60D1EBCF">
            <w:pPr>
              <w:jc w:val="left"/>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禁止对外担保</w:t>
            </w:r>
          </w:p>
        </w:tc>
      </w:tr>
      <w:tr w14:paraId="107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1F89ADDC">
            <w:pPr>
              <w:spacing w:line="36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2"/>
                <w:sz w:val="24"/>
                <w:szCs w:val="24"/>
                <w:highlight w:val="none"/>
                <w:vertAlign w:val="baseline"/>
                <w:lang w:val="en-US" w:eastAsia="zh-CN" w:bidi="ar-SA"/>
              </w:rPr>
              <w:t>8</w:t>
            </w:r>
          </w:p>
        </w:tc>
        <w:tc>
          <w:tcPr>
            <w:tcW w:w="0" w:type="auto"/>
            <w:noWrap w:val="0"/>
            <w:vAlign w:val="center"/>
          </w:tcPr>
          <w:p w14:paraId="16B139AC">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禁止作出增加本公司义务或减少本公司权利的事项（包括但不限于签署索赔及违约文件、减免违约金、让利等）</w:t>
            </w:r>
          </w:p>
        </w:tc>
      </w:tr>
    </w:tbl>
    <w:p w14:paraId="0BF807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三、特别提示：</w:t>
      </w:r>
    </w:p>
    <w:p w14:paraId="29B149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订单》作为本公司唯一认可的订货凭证，以其他任何方式订货本公司均不予认可，均无经济和法律效力；通过合同指定邮箱发送《采购订单》是本公司唯一认可的发送采购订单的方式，其他任何方式本公司均不予认可，均无经济和法律效力。</w:t>
      </w:r>
    </w:p>
    <w:p w14:paraId="26586C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2、《结算明细确认表》作为本公司唯一的结算和付款依据，必须经由2名被授权人同时签认方为有效，否则本公司不予认可。</w:t>
      </w:r>
    </w:p>
    <w:p w14:paraId="4596B6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vertAlign w:val="baseline"/>
          <w:lang w:val="en-US" w:eastAsia="zh-CN"/>
        </w:rPr>
        <w:t>财务对账</w:t>
      </w:r>
      <w:r>
        <w:rPr>
          <w:rFonts w:hint="eastAsia" w:ascii="宋体" w:hAnsi="宋体" w:eastAsia="宋体" w:cs="宋体"/>
          <w:color w:val="auto"/>
          <w:sz w:val="24"/>
          <w:szCs w:val="24"/>
          <w:highlight w:val="none"/>
          <w:lang w:val="en-US" w:eastAsia="zh-CN"/>
        </w:rPr>
        <w:t>单、询证函必须加盖本公司财务章方为有效，仅有签字或加盖伪造、变造印章的，均无经济和法律效力。</w:t>
      </w:r>
    </w:p>
    <w:p w14:paraId="18AFA2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4、合同、补充协议、变更协议、最终结算协议及其同等文件必须加盖本公司公章或合同章方为有效，仅有签字或加盖伪造、变造印章的，均无经济和法律效力。</w:t>
      </w:r>
    </w:p>
    <w:p w14:paraId="731764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5、被授权人发生变化或需变更授权内容的，本公司另行书面出具授权。</w:t>
      </w:r>
    </w:p>
    <w:p w14:paraId="6B5E35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6、双方应严格按照授权书要求履行本合同，本授权书未明示的事项均无权实施，确有必要将另行出具书面授权。</w:t>
      </w:r>
    </w:p>
    <w:p w14:paraId="79E6F3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7、本授权书为合同内容的一部分，有效期与合同有效期保持一致。</w:t>
      </w:r>
    </w:p>
    <w:p w14:paraId="768AFA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（以下无正文）</w:t>
      </w:r>
    </w:p>
    <w:p w14:paraId="1EF70045">
      <w:pPr>
        <w:numPr>
          <w:ilvl w:val="0"/>
          <w:numId w:val="0"/>
        </w:numPr>
        <w:spacing w:line="360" w:lineRule="auto"/>
        <w:jc w:val="both"/>
        <w:rPr>
          <w:rFonts w:hint="eastAsia" w:ascii="宋体" w:hAnsi="宋体" w:eastAsia="宋体" w:cs="宋体"/>
          <w:b/>
          <w:bCs/>
          <w:color w:val="auto"/>
          <w:sz w:val="30"/>
          <w:szCs w:val="30"/>
          <w:highlight w:val="none"/>
        </w:rPr>
      </w:pPr>
    </w:p>
    <w:p w14:paraId="01171CAD">
      <w:pPr>
        <w:numPr>
          <w:ilvl w:val="0"/>
          <w:numId w:val="0"/>
        </w:numPr>
        <w:spacing w:line="360" w:lineRule="auto"/>
        <w:jc w:val="both"/>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北京中铁建工物资有限公司</w:t>
      </w:r>
      <w:r>
        <w:rPr>
          <w:rFonts w:hint="eastAsia" w:ascii="宋体" w:hAnsi="宋体" w:eastAsia="宋体" w:cs="宋体"/>
          <w:b/>
          <w:bCs/>
          <w:color w:val="auto"/>
          <w:sz w:val="30"/>
          <w:szCs w:val="30"/>
          <w:highlight w:val="none"/>
          <w:lang w:val="en-US" w:eastAsia="zh-CN"/>
        </w:rPr>
        <w:t xml:space="preserve">（章）   </w:t>
      </w:r>
      <w:r>
        <w:rPr>
          <w:rFonts w:hint="eastAsia" w:ascii="宋体" w:hAnsi="宋体" w:eastAsia="宋体" w:cs="宋体"/>
          <w:b/>
          <w:bCs/>
          <w:color w:val="auto"/>
          <w:sz w:val="30"/>
          <w:szCs w:val="30"/>
          <w:highlight w:val="none"/>
          <w:u w:val="single"/>
          <w:lang w:val="en-US" w:eastAsia="zh-CN"/>
        </w:rPr>
        <w:t xml:space="preserve">合作方名称（章）                          </w:t>
      </w:r>
      <w:r>
        <w:rPr>
          <w:rFonts w:hint="eastAsia" w:ascii="宋体" w:hAnsi="宋体" w:eastAsia="宋体" w:cs="宋体"/>
          <w:b/>
          <w:bCs/>
          <w:color w:val="auto"/>
          <w:sz w:val="30"/>
          <w:szCs w:val="30"/>
          <w:highlight w:val="none"/>
          <w:lang w:val="en-US" w:eastAsia="zh-CN"/>
        </w:rPr>
        <w:t xml:space="preserve">  </w:t>
      </w:r>
    </w:p>
    <w:p w14:paraId="7572C8F1">
      <w:pPr>
        <w:numPr>
          <w:ilvl w:val="0"/>
          <w:numId w:val="0"/>
        </w:numPr>
        <w:spacing w:line="360" w:lineRule="auto"/>
        <w:jc w:val="both"/>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已经充分阅读并理解</w:t>
      </w:r>
      <w:r>
        <w:rPr>
          <w:rFonts w:hint="eastAsia" w:ascii="宋体" w:hAnsi="宋体" w:eastAsia="宋体" w:cs="宋体"/>
          <w:b/>
          <w:bCs/>
          <w:color w:val="auto"/>
          <w:sz w:val="30"/>
          <w:szCs w:val="30"/>
          <w:highlight w:val="none"/>
          <w:lang w:val="en-US" w:eastAsia="zh-CN"/>
        </w:rPr>
        <w:t>以上</w:t>
      </w:r>
      <w:r>
        <w:rPr>
          <w:rFonts w:hint="eastAsia" w:ascii="宋体" w:hAnsi="宋体" w:eastAsia="宋体" w:cs="宋体"/>
          <w:b/>
          <w:bCs/>
          <w:color w:val="auto"/>
          <w:sz w:val="30"/>
          <w:szCs w:val="30"/>
          <w:highlight w:val="none"/>
        </w:rPr>
        <w:t>内容</w:t>
      </w:r>
      <w:r>
        <w:rPr>
          <w:rFonts w:hint="eastAsia" w:ascii="宋体" w:hAnsi="宋体" w:eastAsia="宋体" w:cs="宋体"/>
          <w:b/>
          <w:bCs/>
          <w:color w:val="auto"/>
          <w:sz w:val="30"/>
          <w:szCs w:val="30"/>
          <w:highlight w:val="none"/>
          <w:lang w:eastAsia="zh-CN"/>
        </w:rPr>
        <w:t>。</w:t>
      </w:r>
    </w:p>
    <w:p w14:paraId="0A68185E">
      <w:pPr>
        <w:numPr>
          <w:ilvl w:val="0"/>
          <w:numId w:val="0"/>
        </w:numPr>
        <w:spacing w:line="360" w:lineRule="auto"/>
        <w:jc w:val="both"/>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 xml:space="preserve">   年     月     日</w:t>
      </w:r>
      <w:r>
        <w:rPr>
          <w:rFonts w:hint="eastAsia" w:ascii="宋体" w:hAnsi="宋体" w:eastAsia="宋体" w:cs="宋体"/>
          <w:b/>
          <w:bCs/>
          <w:color w:val="auto"/>
          <w:sz w:val="30"/>
          <w:szCs w:val="30"/>
          <w:highlight w:val="none"/>
          <w:lang w:val="en-US" w:eastAsia="zh-CN"/>
        </w:rPr>
        <w:tab/>
      </w:r>
      <w:r>
        <w:rPr>
          <w:rFonts w:hint="eastAsia" w:ascii="宋体" w:hAnsi="宋体" w:eastAsia="宋体" w:cs="宋体"/>
          <w:b/>
          <w:bCs/>
          <w:color w:val="auto"/>
          <w:sz w:val="30"/>
          <w:szCs w:val="30"/>
          <w:highlight w:val="none"/>
          <w:lang w:val="en-US" w:eastAsia="zh-CN"/>
        </w:rPr>
        <w:tab/>
      </w:r>
      <w:r>
        <w:rPr>
          <w:rFonts w:hint="eastAsia" w:ascii="宋体" w:hAnsi="宋体" w:eastAsia="宋体" w:cs="宋体"/>
          <w:b/>
          <w:bCs/>
          <w:color w:val="auto"/>
          <w:sz w:val="30"/>
          <w:szCs w:val="30"/>
          <w:highlight w:val="none"/>
          <w:lang w:val="en-US" w:eastAsia="zh-CN"/>
        </w:rPr>
        <w:tab/>
      </w:r>
      <w:r>
        <w:rPr>
          <w:rFonts w:hint="eastAsia" w:ascii="宋体" w:hAnsi="宋体" w:eastAsia="宋体" w:cs="宋体"/>
          <w:b/>
          <w:bCs/>
          <w:color w:val="auto"/>
          <w:sz w:val="30"/>
          <w:szCs w:val="30"/>
          <w:highlight w:val="none"/>
          <w:lang w:val="en-US" w:eastAsia="zh-CN"/>
        </w:rPr>
        <w:tab/>
      </w:r>
      <w:r>
        <w:rPr>
          <w:rFonts w:hint="eastAsia" w:ascii="宋体" w:hAnsi="宋体" w:eastAsia="宋体" w:cs="宋体"/>
          <w:b/>
          <w:bCs/>
          <w:color w:val="auto"/>
          <w:sz w:val="30"/>
          <w:szCs w:val="30"/>
          <w:highlight w:val="none"/>
          <w:lang w:val="en-US" w:eastAsia="zh-CN"/>
        </w:rPr>
        <w:tab/>
      </w:r>
      <w:r>
        <w:rPr>
          <w:rFonts w:hint="eastAsia" w:ascii="宋体" w:hAnsi="宋体" w:eastAsia="宋体" w:cs="宋体"/>
          <w:b/>
          <w:bCs/>
          <w:color w:val="auto"/>
          <w:sz w:val="30"/>
          <w:szCs w:val="30"/>
          <w:highlight w:val="none"/>
          <w:lang w:val="en-US" w:eastAsia="zh-CN"/>
        </w:rPr>
        <w:t xml:space="preserve"> 年     月    日</w:t>
      </w:r>
    </w:p>
    <w:p w14:paraId="25BD0D0B">
      <w:pPr>
        <w:numPr>
          <w:ilvl w:val="0"/>
          <w:numId w:val="0"/>
        </w:numPr>
        <w:spacing w:line="360" w:lineRule="auto"/>
        <w:jc w:val="both"/>
        <w:rPr>
          <w:rFonts w:hint="eastAsia" w:ascii="宋体" w:hAnsi="宋体" w:eastAsia="宋体" w:cs="宋体"/>
          <w:b/>
          <w:bCs/>
          <w:color w:val="auto"/>
          <w:sz w:val="30"/>
          <w:szCs w:val="30"/>
          <w:highlight w:val="none"/>
        </w:rPr>
      </w:pPr>
    </w:p>
    <w:p w14:paraId="761B8AB4">
      <w:pPr>
        <w:tabs>
          <w:tab w:val="left" w:pos="0"/>
        </w:tabs>
        <w:spacing w:line="440" w:lineRule="exact"/>
        <w:jc w:val="center"/>
        <w:rPr>
          <w:rFonts w:hint="eastAsia" w:ascii="宋体" w:hAnsi="宋体" w:eastAsia="宋体" w:cs="宋体"/>
          <w:b/>
          <w:bCs/>
          <w:color w:val="auto"/>
          <w:sz w:val="32"/>
          <w:highlight w:val="none"/>
        </w:rPr>
      </w:pPr>
    </w:p>
    <w:p w14:paraId="39E2E07F">
      <w:pPr>
        <w:tabs>
          <w:tab w:val="left" w:pos="0"/>
        </w:tabs>
        <w:spacing w:line="440" w:lineRule="exact"/>
        <w:jc w:val="center"/>
        <w:rPr>
          <w:rFonts w:hint="eastAsia" w:ascii="宋体" w:hAnsi="宋体" w:eastAsia="宋体" w:cs="宋体"/>
          <w:b/>
          <w:bCs/>
          <w:color w:val="auto"/>
          <w:sz w:val="32"/>
          <w:highlight w:val="none"/>
        </w:rPr>
      </w:pPr>
    </w:p>
    <w:p w14:paraId="33D6121C">
      <w:pPr>
        <w:tabs>
          <w:tab w:val="left" w:pos="0"/>
        </w:tabs>
        <w:spacing w:line="440" w:lineRule="exact"/>
        <w:jc w:val="center"/>
        <w:rPr>
          <w:rFonts w:hint="eastAsia" w:ascii="宋体" w:hAnsi="宋体" w:eastAsia="宋体" w:cs="宋体"/>
          <w:b/>
          <w:bCs/>
          <w:color w:val="auto"/>
          <w:sz w:val="32"/>
          <w:highlight w:val="none"/>
        </w:rPr>
      </w:pPr>
    </w:p>
    <w:p w14:paraId="474B0390">
      <w:pPr>
        <w:tabs>
          <w:tab w:val="left" w:pos="0"/>
        </w:tabs>
        <w:spacing w:line="440" w:lineRule="exact"/>
        <w:jc w:val="center"/>
        <w:rPr>
          <w:rFonts w:hint="eastAsia" w:ascii="宋体" w:hAnsi="宋体" w:eastAsia="宋体" w:cs="宋体"/>
          <w:b/>
          <w:bCs/>
          <w:color w:val="auto"/>
          <w:sz w:val="32"/>
          <w:highlight w:val="none"/>
        </w:rPr>
      </w:pPr>
    </w:p>
    <w:p w14:paraId="7345056A">
      <w:pPr>
        <w:rPr>
          <w:rFonts w:hint="eastAsia" w:ascii="宋体" w:hAnsi="宋体" w:eastAsia="宋体" w:cs="宋体"/>
          <w:color w:val="auto"/>
          <w:sz w:val="24"/>
          <w:szCs w:val="24"/>
          <w:highlight w:val="none"/>
          <w:lang w:eastAsia="zh-CN"/>
        </w:rPr>
      </w:pPr>
      <w:bookmarkStart w:id="1" w:name="OLE_LINK5"/>
      <w:r>
        <w:rPr>
          <w:rFonts w:hint="eastAsia" w:ascii="宋体" w:hAnsi="宋体" w:eastAsia="宋体" w:cs="宋体"/>
          <w:color w:val="auto"/>
          <w:sz w:val="24"/>
          <w:szCs w:val="24"/>
          <w:highlight w:val="none"/>
          <w:lang w:eastAsia="zh-CN"/>
        </w:rPr>
        <w:br w:type="page"/>
      </w:r>
    </w:p>
    <w:p w14:paraId="64B43820">
      <w:pPr>
        <w:tabs>
          <w:tab w:val="left" w:pos="0"/>
        </w:tabs>
        <w:spacing w:line="440" w:lineRule="exact"/>
        <w:jc w:val="left"/>
        <w:rPr>
          <w:rFonts w:hint="eastAsia" w:ascii="宋体" w:hAnsi="宋体" w:eastAsia="宋体" w:cs="宋体"/>
          <w:color w:val="auto"/>
          <w:highlight w:val="none"/>
          <w:lang w:eastAsia="zh-CN"/>
        </w:rPr>
      </w:pPr>
      <w:bookmarkStart w:id="4" w:name="_GoBack"/>
      <w:bookmarkEnd w:id="4"/>
      <w:r>
        <w:rPr>
          <w:rFonts w:hint="eastAsia" w:ascii="宋体" w:hAnsi="宋体" w:eastAsia="宋体" w:cs="宋体"/>
          <w:color w:val="auto"/>
          <w:sz w:val="24"/>
          <w:szCs w:val="24"/>
          <w:highlight w:val="none"/>
          <w:lang w:eastAsia="zh-CN"/>
        </w:rPr>
        <w:t>附件</w:t>
      </w:r>
      <w:r>
        <w:rPr>
          <w:rFonts w:hint="eastAsia" w:ascii="宋体" w:hAnsi="宋体" w:cs="宋体"/>
          <w:color w:val="auto"/>
          <w:sz w:val="24"/>
          <w:szCs w:val="24"/>
          <w:highlight w:val="none"/>
          <w:lang w:val="en-US" w:eastAsia="zh-CN"/>
        </w:rPr>
        <w:t>七：</w:t>
      </w:r>
    </w:p>
    <w:p w14:paraId="4A3E6661">
      <w:pPr>
        <w:pageBreakBefore w:val="0"/>
        <w:kinsoku/>
        <w:wordWrap/>
        <w:overflowPunct/>
        <w:topLinePunct w:val="0"/>
        <w:bidi w:val="0"/>
        <w:spacing w:line="560" w:lineRule="atLeast"/>
        <w:jc w:val="left"/>
        <w:textAlignment w:val="auto"/>
        <w:rPr>
          <w:rFonts w:hint="eastAsia" w:ascii="宋体" w:hAnsi="宋体" w:eastAsia="宋体" w:cs="宋体"/>
          <w:b/>
          <w:bCs/>
          <w:color w:val="auto"/>
          <w:sz w:val="24"/>
          <w:szCs w:val="24"/>
          <w:highlight w:val="none"/>
        </w:rPr>
      </w:pPr>
    </w:p>
    <w:p w14:paraId="5F406D12">
      <w:pPr>
        <w:pageBreakBefore w:val="0"/>
        <w:kinsoku/>
        <w:wordWrap/>
        <w:overflowPunct/>
        <w:topLinePunct w:val="0"/>
        <w:bidi w:val="0"/>
        <w:spacing w:line="560" w:lineRule="atLeas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安全管理协议书</w:t>
      </w:r>
      <w:bookmarkEnd w:id="1"/>
    </w:p>
    <w:p w14:paraId="35B5BF0F">
      <w:pPr>
        <w:pageBreakBefore w:val="0"/>
        <w:kinsoku/>
        <w:wordWrap/>
        <w:overflowPunct/>
        <w:topLinePunct w:val="0"/>
        <w:bidi w:val="0"/>
        <w:spacing w:line="560" w:lineRule="atLeas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甲方：北京中铁建工物资有限公司</w:t>
      </w:r>
    </w:p>
    <w:p w14:paraId="7D09E463">
      <w:pPr>
        <w:pageBreakBefore w:val="0"/>
        <w:kinsoku/>
        <w:wordWrap/>
        <w:overflowPunct/>
        <w:topLinePunct w:val="0"/>
        <w:bidi w:val="0"/>
        <w:spacing w:line="560" w:lineRule="atLeas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b/>
          <w:color w:val="auto"/>
          <w:sz w:val="24"/>
          <w:szCs w:val="24"/>
          <w:highlight w:val="none"/>
          <w:u w:val="single"/>
        </w:rPr>
        <w:t xml:space="preserve">                          </w:t>
      </w:r>
    </w:p>
    <w:p w14:paraId="3F19EB5A">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进一步规范和完善车辆管理工作、严格执行车辆安全作业规范，强化对运输服务全过程的质量和进程控制，保障作业质量和安全、保障货物安全、保障人员安全，最大限度防止和消除生产安全事故、交通安全事故的发生，依据国家相关法律法规的规定，经双方协商一致，签订如下协议。</w:t>
      </w:r>
    </w:p>
    <w:p w14:paraId="2657A989">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一、基本原则</w:t>
      </w:r>
    </w:p>
    <w:p w14:paraId="7BB4278E">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1、乙方要有专人负责本单位的生产安全和交通安全工作，并结合本单位的实际情况制定和完善本单位的生产安全和交通安全责任制，逐级落实到人。</w:t>
      </w:r>
    </w:p>
    <w:p w14:paraId="14D5362C">
      <w:pPr>
        <w:pageBreakBefore w:val="0"/>
        <w:kinsoku/>
        <w:wordWrap/>
        <w:overflowPunct/>
        <w:topLinePunct w:val="0"/>
        <w:bidi w:val="0"/>
        <w:spacing w:line="560" w:lineRule="atLeast"/>
        <w:ind w:right="140"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要按照“安全自责、隐患自改、责任自负”的原则，确保与甲方合作过程中不发生生产安全事故、交通安全事故以及人员伤害事故，如发生了事故要及时告知甲方，并积极组织人员进行施救或抢救。同时，应积极协助政府、公安消防等部门调查原因并独立承担相应法律责任。</w:t>
      </w:r>
    </w:p>
    <w:p w14:paraId="68DD7ABC">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3、乙方必须接受甲方或甲方上级单位的生产安全、日常安全教育等检查、监督和指导。</w:t>
      </w:r>
    </w:p>
    <w:p w14:paraId="74954063">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二、生产安全</w:t>
      </w:r>
    </w:p>
    <w:p w14:paraId="3C60E351">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1、乙方要定期对员工进行安全生产培训教育，各项安全生产操作必须严格遵守国家和地方政府的有关安全规定，保证不发生任何生产事故。</w:t>
      </w:r>
    </w:p>
    <w:p w14:paraId="3C13EFC0">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照“谁使用、谁负责”的原则，乙方对其为甲方提供作业的相关特种作业设备（如：汽车吊）和运输车辆须严格按照国家及地方相关标准要求进行相应的年检和维护，确保其达到相应的标准和使用要求，做到各项检测手续齐全、合格后方可使用。对达到报废年限且未年检合格的特种作业设备和运输车辆严禁使用。</w:t>
      </w:r>
    </w:p>
    <w:p w14:paraId="1AC11A2A">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要严格贯彻执行《特种作业人员安全技术培训考核管理规定》，从事特种作业和驾驶运输车辆的人员，必须经国家规定的有关部门进行安全教育和安全技术培训，并经考核合格取得操作证者，方可持证上岗作业。</w:t>
      </w:r>
      <w:bookmarkStart w:id="2" w:name="OLE_LINK2"/>
      <w:bookmarkStart w:id="3" w:name="OLE_LINK6"/>
      <w:r>
        <w:rPr>
          <w:rFonts w:hint="eastAsia" w:ascii="宋体" w:hAnsi="宋体" w:eastAsia="宋体" w:cs="宋体"/>
          <w:color w:val="auto"/>
          <w:sz w:val="24"/>
          <w:szCs w:val="24"/>
          <w:highlight w:val="none"/>
        </w:rPr>
        <w:t>乙方的特种作业人员的配置必须满足工作需要</w:t>
      </w:r>
      <w:r>
        <w:rPr>
          <w:rFonts w:hint="eastAsia" w:ascii="宋体" w:hAnsi="宋体" w:cs="宋体"/>
          <w:color w:val="auto"/>
          <w:sz w:val="24"/>
          <w:szCs w:val="24"/>
          <w:highlight w:val="none"/>
          <w:lang w:eastAsia="zh-CN"/>
        </w:rPr>
        <w:t>，</w:t>
      </w:r>
      <w:r>
        <w:rPr>
          <w:rFonts w:ascii="宋体" w:hAnsi="宋体" w:eastAsia="宋体" w:cs="宋体"/>
          <w:sz w:val="24"/>
          <w:szCs w:val="24"/>
          <w:highlight w:val="none"/>
        </w:rPr>
        <w:t>在确保安全的前提下组织开展</w:t>
      </w:r>
      <w:r>
        <w:rPr>
          <w:rFonts w:hint="eastAsia" w:ascii="宋体" w:hAnsi="宋体" w:cs="宋体"/>
          <w:sz w:val="24"/>
          <w:szCs w:val="24"/>
          <w:highlight w:val="none"/>
          <w:lang w:val="en-US" w:eastAsia="zh-CN"/>
        </w:rPr>
        <w:t>作业</w:t>
      </w:r>
      <w:r>
        <w:rPr>
          <w:rFonts w:ascii="宋体" w:hAnsi="宋体" w:eastAsia="宋体" w:cs="宋体"/>
          <w:sz w:val="24"/>
          <w:szCs w:val="24"/>
          <w:highlight w:val="none"/>
        </w:rPr>
        <w:t>，</w:t>
      </w:r>
      <w:r>
        <w:rPr>
          <w:rFonts w:hint="eastAsia" w:ascii="宋体" w:hAnsi="宋体" w:cs="宋体"/>
          <w:sz w:val="24"/>
          <w:szCs w:val="24"/>
          <w:highlight w:val="none"/>
          <w:lang w:val="en-US" w:eastAsia="zh-CN"/>
        </w:rPr>
        <w:t>若</w:t>
      </w:r>
      <w:r>
        <w:rPr>
          <w:rFonts w:ascii="宋体" w:hAnsi="宋体" w:eastAsia="宋体" w:cs="宋体"/>
          <w:sz w:val="24"/>
          <w:szCs w:val="24"/>
          <w:highlight w:val="none"/>
        </w:rPr>
        <w:t>卸车</w:t>
      </w:r>
      <w:r>
        <w:rPr>
          <w:rFonts w:hint="eastAsia" w:ascii="宋体" w:hAnsi="宋体" w:eastAsia="宋体" w:cs="宋体"/>
          <w:color w:val="auto"/>
          <w:sz w:val="24"/>
          <w:szCs w:val="24"/>
          <w:highlight w:val="none"/>
        </w:rPr>
        <w:t>时造成第三者伤亡，责任全部由乙方承担。</w:t>
      </w:r>
      <w:bookmarkEnd w:id="2"/>
    </w:p>
    <w:bookmarkEnd w:id="3"/>
    <w:p w14:paraId="5D068821">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4、凡因使用未达标或报废的特种作业设备及一切违规违章操作而发生的各类安全生产事故及财产损失，责任全部由乙方承担。</w:t>
      </w:r>
    </w:p>
    <w:p w14:paraId="5BA5ECBA">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5、乙方人员进入甲方库区和施工现场，必须穿戴好安全合格的工作服（鞋）、安全帽，如因保护不足造成人员伤亡，责任全部由乙方承担。</w:t>
      </w:r>
    </w:p>
    <w:p w14:paraId="75D54652">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6、装卸作业时，须在作业区范围边缘设立警示牌，注意周边人员的安全，若作业时造成第三者伤亡，责任全部由乙方承担。</w:t>
      </w:r>
    </w:p>
    <w:p w14:paraId="3E6086C4">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、进入现场及装卸作业前须察看通行道路及作业面及气候是否具备条件，由于乙方通行或作业造成的所有财产损失及赔偿全部由乙方承担。</w:t>
      </w:r>
    </w:p>
    <w:p w14:paraId="2FD1B965">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三、交通安全</w:t>
      </w:r>
    </w:p>
    <w:p w14:paraId="143305D1">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1、乙方要定期对驾驶人员进行交通安全教育，认真学习相关法律、法规、并自觉遵守交通法规，提高安全驾驶意识。</w:t>
      </w:r>
    </w:p>
    <w:p w14:paraId="64451A9E">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2、乙方车辆必须按交通法有关规定办齐保险等一切合规手续，要坚决杜绝无牌、无证、无营运手续的车辆以及报废车辆的使用。  </w:t>
      </w:r>
    </w:p>
    <w:p w14:paraId="744DD2A3">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3、乙方车辆在甲方库区和施工现场要按照甲方规定限速行驶，杜绝各类事故的发生。</w:t>
      </w:r>
    </w:p>
    <w:p w14:paraId="0C8CA609">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4、乙方应当坚决杜绝司机酒后开车，无证驾车、疲劳驾驶，凡乙方车辆造成人身伤亡、车辆损坏的，经济责任及法律后果由乙方自负。</w:t>
      </w:r>
    </w:p>
    <w:p w14:paraId="23DD2B76">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四、治安管理</w:t>
      </w:r>
    </w:p>
    <w:p w14:paraId="3140B8F1">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1、乙方要做好所运输物资安全防范工作。</w:t>
      </w:r>
    </w:p>
    <w:p w14:paraId="31085170">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2、乙方要经常教育其员工自觉遵守法律法规和甲方各项规章制度，维护库区和施工现场正常工作生活秩序，严禁打架、群殴事件的发生，杜绝一切违法活动的出现。</w:t>
      </w:r>
    </w:p>
    <w:p w14:paraId="0D00B480">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3、乙方在甲方库房和施工现场严禁从事一切非法行为。经公安机关或甲方检查，发现乙方从事非法行为但情节轻微，未给甲方或第三方造成经济损失且无社会负面影响的，甲方有权单方解除</w:t>
      </w:r>
      <w:r>
        <w:rPr>
          <w:rFonts w:hint="eastAsia" w:ascii="宋体" w:hAnsi="宋体" w:cs="宋体"/>
          <w:color w:val="auto"/>
          <w:sz w:val="24"/>
          <w:szCs w:val="24"/>
          <w:highlight w:val="none"/>
          <w:lang w:eastAsia="zh-CN"/>
        </w:rPr>
        <w:t>《采购合同》</w:t>
      </w:r>
      <w:r>
        <w:rPr>
          <w:rFonts w:hint="eastAsia" w:ascii="宋体" w:hAnsi="宋体" w:eastAsia="宋体" w:cs="宋体"/>
          <w:color w:val="auto"/>
          <w:sz w:val="24"/>
          <w:szCs w:val="24"/>
          <w:highlight w:val="none"/>
        </w:rPr>
        <w:t xml:space="preserve">，造成经济损失或社会负面影响的，相关损失由乙方承担；情节严重的将直接移交公安机关进行处理，乙方并承担一切后果。   </w:t>
      </w:r>
    </w:p>
    <w:p w14:paraId="2616F45C">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五、违约责任及其它</w:t>
      </w:r>
    </w:p>
    <w:p w14:paraId="4683AA9B">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1、凡因乙方未履行本责任书规定的内容，给甲方造成损失的，由乙方负责经济赔偿，并承担相应的法律责任。</w:t>
      </w:r>
    </w:p>
    <w:p w14:paraId="01D8850B">
      <w:pPr>
        <w:pageBreakBefore w:val="0"/>
        <w:kinsoku/>
        <w:wordWrap/>
        <w:overflowPunct/>
        <w:topLinePunct w:val="0"/>
        <w:bidi w:val="0"/>
        <w:spacing w:line="560" w:lineRule="atLeas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2、乙方有安全隐患，甲方有权要求乙方进行整改，乙方应在甲方限定时间内积极配合、实施整改，否则按甲方规定进行处罚。</w:t>
      </w:r>
    </w:p>
    <w:p w14:paraId="00B8E179">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3、乙方在货物配送期间（包括进出现场、装卸货物），发生的一切安全事故及给甲方或第三方造成的任何损失由乙方独立承担。</w:t>
      </w:r>
    </w:p>
    <w:p w14:paraId="6FF06B14">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4、乙方在履行本协议上述各项条款中，因违规造成严重后果者，甲方有权单方终止同乙方的合作合同。</w:t>
      </w:r>
    </w:p>
    <w:p w14:paraId="7890CE96">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六、本协议如有未尽事宜，双方可以协议补充。</w:t>
      </w:r>
    </w:p>
    <w:p w14:paraId="0A017B6B">
      <w:pPr>
        <w:pageBreakBefore w:val="0"/>
        <w:kinsoku/>
        <w:wordWrap/>
        <w:overflowPunct/>
        <w:topLinePunct w:val="0"/>
        <w:bidi w:val="0"/>
        <w:spacing w:line="56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七、本协议一式两份，双方各执一份，具有同等法律效力，甲乙双方签章生效。</w:t>
      </w:r>
    </w:p>
    <w:p w14:paraId="688AAC8D">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甲方：北京中铁建工物资有限公司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乙方 </w:t>
      </w:r>
      <w:r>
        <w:rPr>
          <w:rFonts w:hint="eastAsia" w:ascii="宋体" w:hAnsi="宋体" w:eastAsia="宋体" w:cs="宋体"/>
          <w:color w:val="auto"/>
          <w:sz w:val="24"/>
          <w:szCs w:val="24"/>
          <w:highlight w:val="none"/>
          <w:u w:val="single"/>
        </w:rPr>
        <w:t xml:space="preserve">                       </w:t>
      </w:r>
    </w:p>
    <w:p w14:paraId="3001CEC3">
      <w:pPr>
        <w:keepNext w:val="0"/>
        <w:keepLines w:val="0"/>
        <w:pageBreakBefore w:val="0"/>
        <w:widowControl w:val="0"/>
        <w:kinsoku/>
        <w:wordWrap/>
        <w:overflowPunct/>
        <w:topLinePunct w:val="0"/>
        <w:autoSpaceDE/>
        <w:autoSpaceDN/>
        <w:bidi w:val="0"/>
        <w:adjustRightInd/>
        <w:snapToGrid/>
        <w:spacing w:line="240" w:lineRule="atLeast"/>
        <w:ind w:firstLine="44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（盖章）                            （盖章） </w:t>
      </w:r>
    </w:p>
    <w:p w14:paraId="5AC30DE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地址：                               </w:t>
      </w:r>
    </w:p>
    <w:p w14:paraId="384A8A26">
      <w:pPr>
        <w:pageBreakBefore w:val="0"/>
        <w:kinsoku/>
        <w:wordWrap/>
        <w:overflowPunct/>
        <w:topLinePunct w:val="0"/>
        <w:bidi w:val="0"/>
        <w:spacing w:line="240" w:lineRule="auto"/>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经办人：                           经办人：</w:t>
      </w:r>
      <w:r>
        <w:rPr>
          <w:rFonts w:hint="eastAsia" w:ascii="宋体" w:hAnsi="宋体" w:eastAsia="宋体" w:cs="宋体"/>
          <w:color w:val="auto"/>
          <w:sz w:val="24"/>
          <w:szCs w:val="24"/>
          <w:highlight w:val="none"/>
          <w:lang w:val="en-US" w:eastAsia="zh-CN"/>
        </w:rPr>
        <w:t xml:space="preserve">         </w:t>
      </w:r>
    </w:p>
    <w:p w14:paraId="17872C59"/>
    <w:sectPr>
      <w:headerReference r:id="rId10" w:type="default"/>
      <w:pgSz w:w="11906" w:h="16838"/>
      <w:pgMar w:top="1134" w:right="1361" w:bottom="1134" w:left="1531" w:header="0" w:footer="851" w:gutter="0"/>
      <w:cols w:space="720" w:num="1"/>
      <w:docGrid w:type="linesAndChars" w:linePitch="287" w:charSpace="-43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31F1E">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p>
  <w:p w14:paraId="104EB8DE">
    <w:pPr>
      <w:pStyle w:val="3"/>
      <w:tabs>
        <w:tab w:val="right" w:pos="8694"/>
        <w:tab w:val="clear" w:pos="8306"/>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E918E">
    <w:pPr>
      <w:pStyle w:val="3"/>
      <w:ind w:right="360" w:firstLine="360"/>
      <w:jc w:val="both"/>
      <w:rPr>
        <w:color w:val="FFFFFF"/>
      </w:rPr>
    </w:pPr>
    <w:r>
      <w:rPr>
        <w:rFonts w:hint="eastAsia"/>
        <w:color w:val="FFFFFF"/>
        <w:spacing w:val="34"/>
        <w:sz w:val="28"/>
      </w:rPr>
      <w:t>—</w:t>
    </w:r>
    <w:r>
      <w:rPr>
        <w:color w:val="FFFFFF"/>
        <w:spacing w:val="34"/>
        <w:sz w:val="28"/>
      </w:rPr>
      <w:fldChar w:fldCharType="begin"/>
    </w:r>
    <w:r>
      <w:rPr>
        <w:color w:val="FFFFFF"/>
        <w:spacing w:val="34"/>
        <w:sz w:val="28"/>
      </w:rPr>
      <w:instrText xml:space="preserve"> PAGE </w:instrText>
    </w:r>
    <w:r>
      <w:rPr>
        <w:color w:val="FFFFFF"/>
        <w:spacing w:val="34"/>
        <w:sz w:val="28"/>
      </w:rPr>
      <w:fldChar w:fldCharType="separate"/>
    </w:r>
    <w:r>
      <w:rPr>
        <w:color w:val="FFFFFF"/>
        <w:spacing w:val="34"/>
        <w:sz w:val="28"/>
      </w:rPr>
      <w:t>2</w:t>
    </w:r>
    <w:r>
      <w:rPr>
        <w:color w:val="FFFFFF"/>
        <w:spacing w:val="34"/>
        <w:sz w:val="28"/>
      </w:rPr>
      <w:fldChar w:fldCharType="end"/>
    </w:r>
    <w:r>
      <w:rPr>
        <w:rFonts w:hint="eastAsia"/>
        <w:color w:val="FFFFFF"/>
        <w:spacing w:val="34"/>
        <w:sz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43C8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26528">
    <w:pPr>
      <w:pStyle w:val="4"/>
      <w:pBdr>
        <w:bottom w:val="none" w:color="auto" w:sz="0" w:space="0"/>
      </w:pBdr>
      <w:jc w:val="both"/>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716905" cy="5143500"/>
          <wp:effectExtent l="0" t="0" r="17145" b="0"/>
          <wp:wrapNone/>
          <wp:docPr id="4" name="WordPictureWatermark20713939" descr="百分之9 标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0713939" descr="百分之9 标准LOGO"/>
                  <pic:cNvPicPr>
                    <a:picLocks noChangeAspect="1"/>
                  </pic:cNvPicPr>
                </pic:nvPicPr>
                <pic:blipFill>
                  <a:blip r:embed="rId1"/>
                  <a:stretch>
                    <a:fillRect/>
                  </a:stretch>
                </pic:blipFill>
                <pic:spPr>
                  <a:xfrm>
                    <a:off x="0" y="0"/>
                    <a:ext cx="5716905" cy="51435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6A7BF">
    <w:pPr>
      <w:pStyle w:val="4"/>
      <w:pBdr>
        <w:bottom w:val="none" w:color="auto" w:sz="0" w:space="0"/>
      </w:pBd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716905" cy="5143500"/>
          <wp:effectExtent l="0" t="0" r="17145" b="0"/>
          <wp:wrapNone/>
          <wp:docPr id="3" name="WordPictureWatermark20713938" descr="百分之9 标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0713938" descr="百分之9 标准LOGO"/>
                  <pic:cNvPicPr>
                    <a:picLocks noChangeAspect="1"/>
                  </pic:cNvPicPr>
                </pic:nvPicPr>
                <pic:blipFill>
                  <a:blip r:embed="rId1"/>
                  <a:stretch>
                    <a:fillRect/>
                  </a:stretch>
                </pic:blipFill>
                <pic:spPr>
                  <a:xfrm>
                    <a:off x="0" y="0"/>
                    <a:ext cx="5716905" cy="51435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DCB72">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716905" cy="5143500"/>
          <wp:effectExtent l="0" t="0" r="17145" b="0"/>
          <wp:wrapNone/>
          <wp:docPr id="2" name="WordPictureWatermark20713937" descr="百分之9 标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0713937" descr="百分之9 标准LOGO"/>
                  <pic:cNvPicPr>
                    <a:picLocks noChangeAspect="1"/>
                  </pic:cNvPicPr>
                </pic:nvPicPr>
                <pic:blipFill>
                  <a:blip r:embed="rId1"/>
                  <a:stretch>
                    <a:fillRect/>
                  </a:stretch>
                </pic:blipFill>
                <pic:spPr>
                  <a:xfrm>
                    <a:off x="0" y="0"/>
                    <a:ext cx="5716905" cy="514350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24BE3">
    <w:pPr>
      <w:pStyle w:val="4"/>
      <w:pBdr>
        <w:bottom w:val="none" w:color="auto" w:sz="0" w:space="0"/>
      </w:pBdr>
      <w:jc w:val="both"/>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723890" cy="5149850"/>
          <wp:effectExtent l="0" t="0" r="10160" b="12700"/>
          <wp:wrapNone/>
          <wp:docPr id="7" name="WordPictureWatermark20713939" descr="百分之9 标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0713939" descr="百分之9 标准LOGO"/>
                  <pic:cNvPicPr>
                    <a:picLocks noChangeAspect="1"/>
                  </pic:cNvPicPr>
                </pic:nvPicPr>
                <pic:blipFill>
                  <a:blip r:embed="rId1"/>
                  <a:stretch>
                    <a:fillRect/>
                  </a:stretch>
                </pic:blipFill>
                <pic:spPr>
                  <a:xfrm>
                    <a:off x="0" y="0"/>
                    <a:ext cx="5716905" cy="5143500"/>
                  </a:xfrm>
                  <a:prstGeom prst="rect">
                    <a:avLst/>
                  </a:prstGeom>
                  <a:noFill/>
                  <a:ln>
                    <a:noFill/>
                  </a:ln>
                </pic:spPr>
              </pic:pic>
            </a:graphicData>
          </a:graphic>
        </wp:anchor>
      </w:drawing>
    </w:r>
    <w:r>
      <w:rPr>
        <w:sz w:val="18"/>
      </w:rPr>
      <w:pict>
        <v:shape id="PowerPlusWaterMarkObject44116" o:spid="_x0000_s2049" o:spt="136" type="#_x0000_t136" style="position:absolute;left:0pt;margin-top:170.1pt;height:80.5pt;width:141.4pt;mso-position-horizontal:center;mso-position-horizontal-relative:margin;mso-position-vertical-relative:margin;z-index:-251652096;mso-width-relative:page;mso-height-relative:page;" fillcolor="#FF0000" filled="t" stroked="f" coordsize="21600,21600" adj="10800">
          <v:path/>
          <v:fill on="t" color2="#FFFFFF" opacity="32768f" focussize="0,0"/>
          <v:stroke on="f"/>
          <v:imagedata o:title=""/>
          <o:lock v:ext="edit" aspectratio="t"/>
          <v:textpath on="t" fitshape="t" fitpath="t" trim="t" xscale="f" string="样本" style="font-family:宋体;font-size:80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4D371">
    <w:pPr>
      <w:pStyle w:val="4"/>
      <w:pBdr>
        <w:bottom w:val="none" w:color="auto" w:sz="0" w:space="0"/>
      </w:pBdr>
      <w:jc w:val="both"/>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716905" cy="5143500"/>
          <wp:effectExtent l="0" t="0" r="17145" b="0"/>
          <wp:wrapNone/>
          <wp:docPr id="9" name="WordPictureWatermark20713939" descr="百分之9 标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20713939" descr="百分之9 标准LOGO"/>
                  <pic:cNvPicPr>
                    <a:picLocks noChangeAspect="1"/>
                  </pic:cNvPicPr>
                </pic:nvPicPr>
                <pic:blipFill>
                  <a:blip r:embed="rId1"/>
                  <a:stretch>
                    <a:fillRect/>
                  </a:stretch>
                </pic:blipFill>
                <pic:spPr>
                  <a:xfrm>
                    <a:off x="0" y="0"/>
                    <a:ext cx="5716905" cy="51435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D7DCA"/>
    <w:multiLevelType w:val="multilevel"/>
    <w:tmpl w:val="1E1D7DCA"/>
    <w:lvl w:ilvl="0" w:tentative="0">
      <w:start w:val="1"/>
      <w:numFmt w:val="chineseCountingThousand"/>
      <w:lvlText w:val="%1、"/>
      <w:lvlJc w:val="left"/>
      <w:pPr>
        <w:tabs>
          <w:tab w:val="left" w:pos="360"/>
        </w:tabs>
        <w:ind w:left="360" w:hanging="360"/>
      </w:pPr>
      <w:rPr>
        <w:b/>
      </w:rPr>
    </w:lvl>
    <w:lvl w:ilvl="1" w:tentative="0">
      <w:start w:val="1"/>
      <w:numFmt w:val="upperLetter"/>
      <w:lvlText w:val="%2."/>
      <w:lvlJc w:val="left"/>
      <w:pPr>
        <w:tabs>
          <w:tab w:val="left" w:pos="780"/>
        </w:tabs>
        <w:ind w:left="780" w:hanging="360"/>
      </w:pPr>
      <w:rPr>
        <w:rFonts w:cs="Times New Roman"/>
        <w:b/>
      </w:rPr>
    </w:lvl>
    <w:lvl w:ilvl="2" w:tentative="0">
      <w:start w:val="1"/>
      <w:numFmt w:val="decimal"/>
      <w:lvlText w:val="%3."/>
      <w:lvlJc w:val="left"/>
      <w:pPr>
        <w:tabs>
          <w:tab w:val="left" w:pos="1560"/>
        </w:tabs>
        <w:ind w:left="1560" w:hanging="720"/>
      </w:pPr>
      <w:rPr>
        <w:rFonts w:ascii="仿宋" w:hAnsi="仿宋" w:eastAsia="仿宋" w:cstheme="minorBidi"/>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32F06372"/>
    <w:multiLevelType w:val="multilevel"/>
    <w:tmpl w:val="32F06372"/>
    <w:lvl w:ilvl="0" w:tentative="0">
      <w:start w:val="1"/>
      <w:numFmt w:val="japaneseCounting"/>
      <w:lvlText w:val="（%1）"/>
      <w:lvlJc w:val="left"/>
      <w:pPr>
        <w:ind w:left="1284" w:hanging="720"/>
      </w:pPr>
      <w:rPr>
        <w:rFonts w:hint="default"/>
      </w:rPr>
    </w:lvl>
    <w:lvl w:ilvl="1" w:tentative="0">
      <w:start w:val="1"/>
      <w:numFmt w:val="lowerLetter"/>
      <w:lvlText w:val="%2)"/>
      <w:lvlJc w:val="left"/>
      <w:pPr>
        <w:ind w:left="1404" w:hanging="420"/>
      </w:pPr>
    </w:lvl>
    <w:lvl w:ilvl="2" w:tentative="0">
      <w:start w:val="1"/>
      <w:numFmt w:val="lowerRoman"/>
      <w:lvlText w:val="%3."/>
      <w:lvlJc w:val="right"/>
      <w:pPr>
        <w:ind w:left="1824" w:hanging="420"/>
      </w:pPr>
    </w:lvl>
    <w:lvl w:ilvl="3" w:tentative="0">
      <w:start w:val="1"/>
      <w:numFmt w:val="decimal"/>
      <w:lvlText w:val="%4."/>
      <w:lvlJc w:val="left"/>
      <w:pPr>
        <w:ind w:left="2244" w:hanging="420"/>
      </w:pPr>
    </w:lvl>
    <w:lvl w:ilvl="4" w:tentative="0">
      <w:start w:val="1"/>
      <w:numFmt w:val="lowerLetter"/>
      <w:lvlText w:val="%5)"/>
      <w:lvlJc w:val="left"/>
      <w:pPr>
        <w:ind w:left="2664" w:hanging="420"/>
      </w:pPr>
    </w:lvl>
    <w:lvl w:ilvl="5" w:tentative="0">
      <w:start w:val="1"/>
      <w:numFmt w:val="lowerRoman"/>
      <w:lvlText w:val="%6."/>
      <w:lvlJc w:val="right"/>
      <w:pPr>
        <w:ind w:left="3084" w:hanging="420"/>
      </w:pPr>
    </w:lvl>
    <w:lvl w:ilvl="6" w:tentative="0">
      <w:start w:val="1"/>
      <w:numFmt w:val="decimal"/>
      <w:lvlText w:val="%7."/>
      <w:lvlJc w:val="left"/>
      <w:pPr>
        <w:ind w:left="3504" w:hanging="420"/>
      </w:pPr>
    </w:lvl>
    <w:lvl w:ilvl="7" w:tentative="0">
      <w:start w:val="1"/>
      <w:numFmt w:val="lowerLetter"/>
      <w:lvlText w:val="%8)"/>
      <w:lvlJc w:val="left"/>
      <w:pPr>
        <w:ind w:left="3924" w:hanging="420"/>
      </w:pPr>
    </w:lvl>
    <w:lvl w:ilvl="8" w:tentative="0">
      <w:start w:val="1"/>
      <w:numFmt w:val="lowerRoman"/>
      <w:lvlText w:val="%9."/>
      <w:lvlJc w:val="right"/>
      <w:pPr>
        <w:ind w:left="4344" w:hanging="420"/>
      </w:pPr>
    </w:lvl>
  </w:abstractNum>
  <w:abstractNum w:abstractNumId="2">
    <w:nsid w:val="53F82343"/>
    <w:multiLevelType w:val="singleLevel"/>
    <w:tmpl w:val="53F82343"/>
    <w:lvl w:ilvl="0" w:tentative="0">
      <w:start w:val="1"/>
      <w:numFmt w:val="chineseCounting"/>
      <w:suff w:val="nothing"/>
      <w:lvlText w:val="%1、"/>
      <w:lvlJc w:val="left"/>
      <w:pPr>
        <w:tabs>
          <w:tab w:val="left" w:pos="0"/>
        </w:tabs>
        <w:ind w:left="0" w:firstLine="0"/>
      </w:pPr>
    </w:lvl>
  </w:abstractNum>
  <w:abstractNum w:abstractNumId="3">
    <w:nsid w:val="755C9EC5"/>
    <w:multiLevelType w:val="multilevel"/>
    <w:tmpl w:val="755C9EC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7F0F0544"/>
    <w:multiLevelType w:val="singleLevel"/>
    <w:tmpl w:val="7F0F0544"/>
    <w:lvl w:ilvl="0" w:tentative="0">
      <w:start w:val="2"/>
      <w:numFmt w:val="decimal"/>
      <w:suff w:val="nothing"/>
      <w:lvlText w:val="（%1）"/>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D1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napToGrid w:val="0"/>
      <w:spacing w:line="560" w:lineRule="atLeast"/>
      <w:ind w:right="131"/>
      <w:jc w:val="left"/>
    </w:pPr>
    <w:rPr>
      <w:rFonts w:eastAsia="仿宋_GB2312"/>
      <w:spacing w:val="20"/>
      <w:sz w:val="30"/>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000FF"/>
      <w:u w:val="single"/>
    </w:rPr>
  </w:style>
  <w:style w:type="paragraph" w:styleId="9">
    <w:name w:val="List Paragraph"/>
    <w:basedOn w:val="1"/>
    <w:autoRedefine/>
    <w:qFormat/>
    <w:uiPriority w:val="0"/>
    <w:pPr>
      <w:ind w:firstLine="200" w:firstLineChars="200"/>
    </w:pPr>
  </w:style>
  <w:style w:type="paragraph" w:customStyle="1" w:styleId="10">
    <w:name w:val="Default"/>
    <w:autoRedefine/>
    <w:qFormat/>
    <w:uiPriority w:val="0"/>
    <w:pPr>
      <w:widowControl w:val="0"/>
      <w:autoSpaceDE w:val="0"/>
      <w:autoSpaceDN w:val="0"/>
      <w:adjustRightInd w:val="0"/>
    </w:pPr>
    <w:rPr>
      <w:rFonts w:ascii="方正小标宋简体" w:hAnsi="方正小标宋简体" w:eastAsia="方正小标宋简体" w:cs="方正小标宋简体"/>
      <w:color w:val="000000"/>
      <w:sz w:val="24"/>
      <w:szCs w:val="24"/>
      <w:lang w:val="en-US" w:eastAsia="zh-CN" w:bidi="ar-SA"/>
    </w:rPr>
  </w:style>
  <w:style w:type="paragraph" w:customStyle="1" w:styleId="11">
    <w:name w:val="列出段落2"/>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2025-05-15T06:27:01Z</dcterms:created>
  <dc:creator>18274</dc:creator>
  <cp:lastModifiedBy>龚鑫</cp:lastModifiedBy>
  <dcterms:modified xsi:type="dcterms:W3CDTF">2025-05-15T06:37:49Z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eyJoZGlkIjoiZGM5NmQ1OWJhYWRiMGEwOTc4NTI1NGNlYWViN2NkMWIiLCJ1c2VySWQiOiIxNTExNTU5NjY5In0=</vt:lpwstr>
  </property>
  <property fmtid="{D5CDD505-2E9C-101B-9397-08002B2CF9AE}" pid="4" name="ICV">
    <vt:lpwstr>C57D739094CF459B882FE68C0D495F69_12</vt:lpwstr>
  </property>
</Properties>
</file>